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21725E" w:rsidRDefault="0021725E" w:rsidP="003D4BEF">
            <w:pPr>
              <w:rPr>
                <w:b/>
              </w:rPr>
            </w:pPr>
            <w:r>
              <w:t>1</w:t>
            </w:r>
            <w:r w:rsidR="003D4BEF">
              <w:t xml:space="preserve">9 </w:t>
            </w:r>
            <w:bookmarkStart w:id="0" w:name="_GoBack"/>
            <w:bookmarkEnd w:id="0"/>
            <w:r w:rsidR="00980C5C">
              <w:t>June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21725E" w:rsidRDefault="00980C5C" w:rsidP="00AC4A99">
            <w:r>
              <w:t>Community Protection Notices as an Anti-social behaviour enforcement tool.</w:t>
            </w:r>
          </w:p>
          <w:p w:rsidR="00491976" w:rsidRPr="009E2B84" w:rsidRDefault="00491976" w:rsidP="00AC4A99">
            <w:pPr>
              <w:rPr>
                <w:b/>
              </w:rPr>
            </w:pPr>
          </w:p>
        </w:tc>
        <w:tc>
          <w:tcPr>
            <w:tcW w:w="2410" w:type="dxa"/>
            <w:vAlign w:val="center"/>
          </w:tcPr>
          <w:p w:rsidR="00491976" w:rsidRPr="0021725E" w:rsidRDefault="00D45AF6" w:rsidP="00A501A1">
            <w:pPr>
              <w:rPr>
                <w:b/>
              </w:rPr>
            </w:pPr>
            <w:r>
              <w:rPr>
                <w:rFonts w:ascii="Helvetica" w:hAnsi="Helvetica" w:cs="Arial"/>
                <w:color w:val="333333"/>
                <w:sz w:val="21"/>
                <w:szCs w:val="21"/>
                <w:lang w:val="en"/>
              </w:rPr>
              <w:t xml:space="preserve">   </w:t>
            </w:r>
            <w:r w:rsidR="00A501A1">
              <w:rPr>
                <w:rFonts w:ascii="Helvetica" w:hAnsi="Helvetica" w:cs="Arial"/>
                <w:color w:val="333333"/>
                <w:sz w:val="21"/>
                <w:szCs w:val="21"/>
                <w:lang w:val="en"/>
              </w:rPr>
              <w:t>Leader</w:t>
            </w:r>
            <w:r w:rsidR="007D2754">
              <w:rPr>
                <w:rFonts w:ascii="Helvetica" w:hAnsi="Helvetica" w:cs="Arial"/>
                <w:color w:val="333333"/>
                <w:sz w:val="21"/>
                <w:szCs w:val="21"/>
                <w:lang w:val="en"/>
              </w:rPr>
              <w:t xml:space="preserve"> of </w:t>
            </w:r>
            <w:r>
              <w:rPr>
                <w:rFonts w:ascii="Helvetica" w:hAnsi="Helvetica" w:cs="Arial"/>
                <w:color w:val="333333"/>
                <w:sz w:val="21"/>
                <w:szCs w:val="21"/>
                <w:lang w:val="en"/>
              </w:rPr>
              <w:t xml:space="preserve">the </w:t>
            </w:r>
            <w:r w:rsidR="007D2754">
              <w:rPr>
                <w:rFonts w:ascii="Helvetica" w:hAnsi="Helvetica" w:cs="Arial"/>
                <w:color w:val="333333"/>
                <w:sz w:val="21"/>
                <w:szCs w:val="21"/>
                <w:lang w:val="en"/>
              </w:rPr>
              <w:t>Council</w:t>
            </w:r>
          </w:p>
        </w:tc>
        <w:tc>
          <w:tcPr>
            <w:tcW w:w="2551" w:type="dxa"/>
            <w:vAlign w:val="center"/>
          </w:tcPr>
          <w:p w:rsidR="00491976" w:rsidRPr="0021725E" w:rsidRDefault="00980C5C" w:rsidP="009E233A">
            <w:pPr>
              <w:jc w:val="center"/>
            </w:pPr>
            <w:r>
              <w:t>Director of Neighbourhoods and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2F5C5E" w:rsidRPr="00A15749"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Default="00BD2AFE" w:rsidP="00AC4A99">
            <w:pPr>
              <w:rPr>
                <w:szCs w:val="22"/>
              </w:rPr>
            </w:pPr>
          </w:p>
          <w:p w:rsidR="00BD2AFE" w:rsidRPr="009C1143" w:rsidRDefault="00BD2AFE" w:rsidP="00AC4A99">
            <w:pPr>
              <w:rPr>
                <w:szCs w:val="22"/>
              </w:rPr>
            </w:pPr>
          </w:p>
        </w:tc>
        <w:tc>
          <w:tcPr>
            <w:tcW w:w="3266" w:type="dxa"/>
            <w:shd w:val="clear" w:color="auto" w:fill="auto"/>
          </w:tcPr>
          <w:p w:rsidR="002F5C5E" w:rsidRPr="00F3057A" w:rsidRDefault="00AE5E50" w:rsidP="00AC4A99">
            <w:pPr>
              <w:rPr>
                <w:b/>
                <w:szCs w:val="22"/>
              </w:rPr>
            </w:pPr>
            <w:r>
              <w:rPr>
                <w:b/>
                <w:szCs w:val="22"/>
              </w:rPr>
              <w:t>No</w:t>
            </w:r>
          </w:p>
          <w:p w:rsidR="002F5C5E" w:rsidRPr="009C1143" w:rsidRDefault="002F5C5E" w:rsidP="00AC4A99">
            <w:pPr>
              <w:rPr>
                <w:i/>
                <w:color w:val="0070C0"/>
                <w:szCs w:val="22"/>
              </w:rPr>
            </w:pPr>
          </w:p>
          <w:p w:rsidR="002F5C5E" w:rsidRPr="009C1143" w:rsidRDefault="002F5C5E" w:rsidP="00AC4A99">
            <w:pPr>
              <w:rPr>
                <w:szCs w:val="22"/>
              </w:rPr>
            </w:pPr>
          </w:p>
          <w:p w:rsidR="002F5C5E" w:rsidRDefault="002F5C5E" w:rsidP="00AC4A99">
            <w:pPr>
              <w:rPr>
                <w:b/>
                <w:szCs w:val="22"/>
              </w:rPr>
            </w:pPr>
            <w:r w:rsidRPr="00F3057A">
              <w:rPr>
                <w:b/>
                <w:szCs w:val="22"/>
              </w:rPr>
              <w:t>No</w:t>
            </w:r>
          </w:p>
          <w:p w:rsidR="00594D09" w:rsidRPr="009C1143" w:rsidRDefault="00594D09" w:rsidP="00594D09">
            <w:pPr>
              <w:rPr>
                <w:i/>
                <w:color w:val="0070C0"/>
                <w:szCs w:val="22"/>
              </w:rPr>
            </w:pPr>
          </w:p>
          <w:p w:rsidR="002F5C5E" w:rsidRPr="00F3057A" w:rsidRDefault="002F5C5E" w:rsidP="00AC4A99">
            <w:pPr>
              <w:rPr>
                <w:b/>
                <w:szCs w:val="22"/>
              </w:rPr>
            </w:pPr>
          </w:p>
          <w:p w:rsidR="00594D09" w:rsidRPr="00D468F3" w:rsidRDefault="002F5C5E" w:rsidP="00594D09">
            <w:pPr>
              <w:rPr>
                <w:b/>
                <w:szCs w:val="22"/>
              </w:rPr>
            </w:pPr>
            <w:r w:rsidRPr="00F3057A">
              <w:rPr>
                <w:b/>
                <w:szCs w:val="22"/>
              </w:rPr>
              <w:t>No</w:t>
            </w:r>
          </w:p>
          <w:p w:rsidR="007A0801" w:rsidRDefault="007A0801" w:rsidP="007A0801">
            <w:pPr>
              <w:autoSpaceDE w:val="0"/>
              <w:autoSpaceDN w:val="0"/>
              <w:adjustRightInd w:val="0"/>
              <w:rPr>
                <w:b/>
                <w:szCs w:val="22"/>
              </w:rPr>
            </w:pPr>
          </w:p>
          <w:p w:rsidR="00D468F3" w:rsidRPr="007A0801" w:rsidRDefault="00D468F3" w:rsidP="007A0801">
            <w:pPr>
              <w:autoSpaceDE w:val="0"/>
              <w:autoSpaceDN w:val="0"/>
              <w:adjustRightInd w:val="0"/>
              <w:rPr>
                <w:rFonts w:ascii="ArialMT" w:hAnsi="ArialMT" w:cs="ArialMT"/>
                <w:b/>
                <w:sz w:val="24"/>
                <w:szCs w:val="24"/>
              </w:rPr>
            </w:pPr>
          </w:p>
          <w:p w:rsidR="00594D09" w:rsidRDefault="00594D09" w:rsidP="007A0801">
            <w:pPr>
              <w:rPr>
                <w:b/>
                <w:szCs w:val="22"/>
              </w:rPr>
            </w:pPr>
          </w:p>
          <w:p w:rsidR="00E50A9C" w:rsidRDefault="00E50A9C" w:rsidP="00AC4A99">
            <w:pPr>
              <w:rPr>
                <w:b/>
                <w:szCs w:val="22"/>
              </w:rPr>
            </w:pPr>
            <w:r>
              <w:rPr>
                <w:b/>
                <w:szCs w:val="22"/>
              </w:rPr>
              <w:t>No</w:t>
            </w:r>
          </w:p>
          <w:p w:rsidR="00594D09" w:rsidRPr="009C1143" w:rsidRDefault="00594D09" w:rsidP="00594D09">
            <w:pPr>
              <w:rPr>
                <w:i/>
                <w:color w:val="0070C0"/>
                <w:szCs w:val="22"/>
              </w:rPr>
            </w:pPr>
          </w:p>
          <w:p w:rsidR="00594D09" w:rsidRPr="009C1143" w:rsidRDefault="00594D09" w:rsidP="00AC4A99">
            <w:pPr>
              <w:rPr>
                <w:szCs w:val="22"/>
              </w:rPr>
            </w:pPr>
          </w:p>
        </w:tc>
      </w:tr>
    </w:tbl>
    <w:p w:rsidR="002C71DE" w:rsidRPr="00833F9E" w:rsidRDefault="002C71DE" w:rsidP="006F3CA7">
      <w:pPr>
        <w:rPr>
          <w:b/>
          <w:color w:val="5B9BD5" w:themeColor="accent1"/>
          <w:sz w:val="20"/>
          <w:szCs w:val="16"/>
        </w:rPr>
      </w:pPr>
    </w:p>
    <w:p w:rsidR="002C71DE" w:rsidRDefault="002C71DE" w:rsidP="00594D09">
      <w:pPr>
        <w:keepNext/>
        <w:outlineLvl w:val="0"/>
        <w:rPr>
          <w:b/>
          <w:szCs w:val="22"/>
        </w:rPr>
      </w:pPr>
    </w:p>
    <w:p w:rsidR="002C71DE" w:rsidRDefault="002C71DE" w:rsidP="00594D09">
      <w:pPr>
        <w:keepNext/>
        <w:outlineLvl w:val="0"/>
        <w:rPr>
          <w:b/>
          <w:szCs w:val="22"/>
        </w:rPr>
      </w:pPr>
    </w:p>
    <w:p w:rsidR="008C04DA" w:rsidRDefault="002F5C5E" w:rsidP="00594D09">
      <w:pPr>
        <w:keepNext/>
        <w:outlineLvl w:val="0"/>
        <w:rPr>
          <w:b/>
          <w:szCs w:val="22"/>
        </w:rPr>
      </w:pPr>
      <w:r w:rsidRPr="009C1143">
        <w:rPr>
          <w:b/>
          <w:szCs w:val="22"/>
        </w:rPr>
        <w:t xml:space="preserve">PURPOSE OF THE REPORT </w:t>
      </w:r>
    </w:p>
    <w:p w:rsidR="007A0801" w:rsidRPr="00D468F3" w:rsidRDefault="007A0801" w:rsidP="00594D09">
      <w:pPr>
        <w:keepNext/>
        <w:outlineLvl w:val="0"/>
        <w:rPr>
          <w:rFonts w:cs="Arial"/>
          <w:b/>
          <w:szCs w:val="22"/>
        </w:rPr>
      </w:pPr>
    </w:p>
    <w:p w:rsidR="002F5C5E" w:rsidRPr="00651946" w:rsidRDefault="007D2754" w:rsidP="007D2754">
      <w:pPr>
        <w:keepNext/>
        <w:ind w:left="720" w:hanging="720"/>
        <w:outlineLvl w:val="0"/>
        <w:rPr>
          <w:rFonts w:cs="Arial"/>
          <w:color w:val="2E74B5" w:themeColor="accent1" w:themeShade="BF"/>
          <w:szCs w:val="22"/>
        </w:rPr>
      </w:pPr>
      <w:r>
        <w:rPr>
          <w:rFonts w:cs="Arial"/>
          <w:szCs w:val="22"/>
        </w:rPr>
        <w:t>1.</w:t>
      </w:r>
      <w:r>
        <w:rPr>
          <w:rFonts w:cs="Arial"/>
          <w:szCs w:val="22"/>
        </w:rPr>
        <w:tab/>
      </w:r>
      <w:r w:rsidR="00651946" w:rsidRPr="00651946">
        <w:rPr>
          <w:rFonts w:cs="Arial"/>
          <w:szCs w:val="22"/>
        </w:rPr>
        <w:t>This report recommends that the Cabinet delegates authority to use Community Protection Notices (CPN's) as an e</w:t>
      </w:r>
      <w:r w:rsidR="00A501A1">
        <w:rPr>
          <w:rFonts w:cs="Arial"/>
          <w:szCs w:val="22"/>
        </w:rPr>
        <w:t xml:space="preserve">nvironmental enforcement tool </w:t>
      </w:r>
      <w:r w:rsidR="00A01AC1">
        <w:rPr>
          <w:rFonts w:cs="Arial"/>
          <w:szCs w:val="22"/>
        </w:rPr>
        <w:t xml:space="preserve">to the </w:t>
      </w:r>
      <w:r w:rsidR="00651946" w:rsidRPr="00651946">
        <w:rPr>
          <w:rFonts w:cs="Arial"/>
          <w:szCs w:val="22"/>
        </w:rPr>
        <w:t>Director of Neighbourhoods and Development</w:t>
      </w:r>
      <w:r w:rsidR="00651946">
        <w:rPr>
          <w:rFonts w:cs="Arial"/>
          <w:szCs w:val="22"/>
        </w:rPr>
        <w:t>.</w:t>
      </w:r>
    </w:p>
    <w:p w:rsidR="002F5C5E" w:rsidRPr="00651946" w:rsidRDefault="002F5C5E" w:rsidP="002F5C5E">
      <w:pPr>
        <w:rPr>
          <w:rFonts w:cs="Arial"/>
          <w:szCs w:val="22"/>
        </w:rPr>
      </w:pPr>
    </w:p>
    <w:p w:rsidR="002F5C5E" w:rsidRPr="00651946" w:rsidRDefault="00491976" w:rsidP="002C71DE">
      <w:pPr>
        <w:keepNext/>
        <w:outlineLvl w:val="0"/>
        <w:rPr>
          <w:rFonts w:cs="Arial"/>
          <w:b/>
          <w:szCs w:val="22"/>
        </w:rPr>
      </w:pPr>
      <w:r w:rsidRPr="00651946">
        <w:rPr>
          <w:rFonts w:cs="Arial"/>
          <w:b/>
          <w:szCs w:val="22"/>
        </w:rPr>
        <w:t>PORTFOLIO</w:t>
      </w:r>
      <w:r w:rsidR="00A162DE" w:rsidRPr="00651946">
        <w:rPr>
          <w:rFonts w:cs="Arial"/>
          <w:b/>
          <w:szCs w:val="22"/>
        </w:rPr>
        <w:t xml:space="preserve"> </w:t>
      </w:r>
      <w:r w:rsidR="002F5C5E" w:rsidRPr="00651946">
        <w:rPr>
          <w:rFonts w:cs="Arial"/>
          <w:b/>
          <w:szCs w:val="22"/>
        </w:rPr>
        <w:t>RECOMMENDATIONS</w:t>
      </w:r>
    </w:p>
    <w:p w:rsidR="007A0801" w:rsidRPr="00651946" w:rsidRDefault="007A0801" w:rsidP="007A0801">
      <w:pPr>
        <w:keepNext/>
        <w:ind w:left="567"/>
        <w:outlineLvl w:val="0"/>
        <w:rPr>
          <w:rFonts w:cs="Arial"/>
          <w:b/>
          <w:szCs w:val="22"/>
        </w:rPr>
      </w:pPr>
    </w:p>
    <w:p w:rsidR="002F5C5E" w:rsidRDefault="007D2754" w:rsidP="007D2754">
      <w:pPr>
        <w:keepNext/>
        <w:ind w:left="720" w:hanging="720"/>
        <w:outlineLvl w:val="0"/>
        <w:rPr>
          <w:rFonts w:cs="Arial"/>
          <w:szCs w:val="22"/>
        </w:rPr>
      </w:pPr>
      <w:r>
        <w:rPr>
          <w:rFonts w:cs="Arial"/>
          <w:szCs w:val="22"/>
        </w:rPr>
        <w:t>2.</w:t>
      </w:r>
      <w:r>
        <w:rPr>
          <w:rFonts w:cs="Arial"/>
          <w:szCs w:val="22"/>
        </w:rPr>
        <w:tab/>
      </w:r>
      <w:r w:rsidR="00651946" w:rsidRPr="00651946">
        <w:rPr>
          <w:rFonts w:cs="Arial"/>
          <w:szCs w:val="22"/>
        </w:rPr>
        <w:t xml:space="preserve">That Cabinet </w:t>
      </w:r>
      <w:r w:rsidR="00A501A1">
        <w:rPr>
          <w:rFonts w:cs="Arial"/>
          <w:szCs w:val="22"/>
        </w:rPr>
        <w:t xml:space="preserve">delegates authority to the </w:t>
      </w:r>
      <w:r w:rsidR="00651946" w:rsidRPr="00651946">
        <w:rPr>
          <w:rFonts w:cs="Arial"/>
          <w:szCs w:val="22"/>
        </w:rPr>
        <w:t>Director of</w:t>
      </w:r>
      <w:r w:rsidR="00651946">
        <w:rPr>
          <w:rFonts w:cs="Arial"/>
          <w:szCs w:val="22"/>
        </w:rPr>
        <w:t xml:space="preserve"> Neighbourhoods and Development</w:t>
      </w:r>
      <w:r w:rsidR="00651946" w:rsidRPr="00651946">
        <w:rPr>
          <w:rFonts w:cs="Arial"/>
          <w:szCs w:val="22"/>
        </w:rPr>
        <w:t>, to use powers available under Part</w:t>
      </w:r>
      <w:r w:rsidR="00A501A1">
        <w:rPr>
          <w:rFonts w:cs="Arial"/>
          <w:szCs w:val="22"/>
        </w:rPr>
        <w:t xml:space="preserve"> 4 of the Anti-social Behaviour, </w:t>
      </w:r>
      <w:r w:rsidR="00651946" w:rsidRPr="00651946">
        <w:rPr>
          <w:rFonts w:cs="Arial"/>
          <w:szCs w:val="22"/>
        </w:rPr>
        <w:t>Crime and Policing Act 2014 in the form of Community Protection Notices to enforce</w:t>
      </w:r>
      <w:r w:rsidR="00651946">
        <w:rPr>
          <w:rFonts w:cs="Arial"/>
          <w:szCs w:val="22"/>
        </w:rPr>
        <w:t xml:space="preserve"> against anti-</w:t>
      </w:r>
      <w:r w:rsidR="00651946" w:rsidRPr="00651946">
        <w:rPr>
          <w:rFonts w:cs="Arial"/>
          <w:szCs w:val="22"/>
        </w:rPr>
        <w:t>social behaviour that is having a detrimental effect on the quality of life for</w:t>
      </w:r>
      <w:r w:rsidR="00651946">
        <w:rPr>
          <w:rFonts w:cs="Arial"/>
          <w:szCs w:val="22"/>
        </w:rPr>
        <w:t xml:space="preserve"> </w:t>
      </w:r>
      <w:r w:rsidR="00651946" w:rsidRPr="00651946">
        <w:rPr>
          <w:rFonts w:cs="Arial"/>
          <w:szCs w:val="22"/>
        </w:rPr>
        <w:t>those in a locality, and is unreasonable, and is of a persistent or continuing nature.</w:t>
      </w:r>
    </w:p>
    <w:p w:rsidR="00651946" w:rsidRDefault="00651946" w:rsidP="00651946">
      <w:pPr>
        <w:keepNext/>
        <w:outlineLvl w:val="0"/>
        <w:rPr>
          <w:rFonts w:cs="Arial"/>
          <w:szCs w:val="22"/>
        </w:rPr>
      </w:pPr>
    </w:p>
    <w:p w:rsidR="00651946" w:rsidRPr="007F52E4" w:rsidRDefault="007D2754" w:rsidP="007D2754">
      <w:pPr>
        <w:spacing w:after="160" w:line="259" w:lineRule="auto"/>
        <w:ind w:left="720" w:hanging="720"/>
        <w:contextualSpacing/>
        <w:rPr>
          <w:rFonts w:eastAsia="Calibri" w:cs="Arial"/>
          <w:szCs w:val="22"/>
          <w:lang w:eastAsia="en-US"/>
        </w:rPr>
      </w:pPr>
      <w:r>
        <w:rPr>
          <w:rFonts w:eastAsia="Calibri" w:cs="Arial"/>
          <w:szCs w:val="22"/>
          <w:lang w:eastAsia="en-US"/>
        </w:rPr>
        <w:t>3.</w:t>
      </w:r>
      <w:r>
        <w:rPr>
          <w:rFonts w:eastAsia="Calibri" w:cs="Arial"/>
          <w:szCs w:val="22"/>
          <w:lang w:eastAsia="en-US"/>
        </w:rPr>
        <w:tab/>
      </w:r>
      <w:r w:rsidR="00651946" w:rsidRPr="007F52E4">
        <w:rPr>
          <w:rFonts w:eastAsia="Calibri" w:cs="Arial"/>
          <w:szCs w:val="22"/>
          <w:lang w:eastAsia="en-US"/>
        </w:rPr>
        <w:t>Cabinet to receive this report for information and express a</w:t>
      </w:r>
      <w:r w:rsidR="00651946">
        <w:rPr>
          <w:rFonts w:eastAsia="Calibri" w:cs="Arial"/>
          <w:szCs w:val="22"/>
          <w:lang w:eastAsia="en-US"/>
        </w:rPr>
        <w:t xml:space="preserve">ny feedback or suggestions that </w:t>
      </w:r>
      <w:r w:rsidR="00651946" w:rsidRPr="007F52E4">
        <w:rPr>
          <w:rFonts w:eastAsia="Calibri" w:cs="Arial"/>
          <w:szCs w:val="22"/>
          <w:lang w:eastAsia="en-US"/>
        </w:rPr>
        <w:t>can help shape/inform the ongoing process.</w:t>
      </w:r>
    </w:p>
    <w:p w:rsidR="00651946" w:rsidRDefault="00651946" w:rsidP="00651946">
      <w:pPr>
        <w:keepNext/>
        <w:outlineLvl w:val="0"/>
        <w:rPr>
          <w:rFonts w:cs="Arial"/>
          <w:szCs w:val="22"/>
        </w:rPr>
      </w:pPr>
    </w:p>
    <w:p w:rsidR="002F5C5E" w:rsidRPr="00970C70" w:rsidRDefault="002F5C5E" w:rsidP="002F5C5E">
      <w:pPr>
        <w:rPr>
          <w:i/>
          <w:color w:val="2E74B5" w:themeColor="accent1" w:themeShade="BF"/>
          <w:szCs w:val="22"/>
        </w:rPr>
      </w:pPr>
    </w:p>
    <w:p w:rsidR="00BD2AFE" w:rsidRPr="002C71DE" w:rsidRDefault="00CC4337" w:rsidP="002C71DE">
      <w:pPr>
        <w:rPr>
          <w:b/>
          <w:color w:val="000000"/>
          <w:szCs w:val="22"/>
        </w:rPr>
      </w:pPr>
      <w:r w:rsidRPr="002C71DE">
        <w:rPr>
          <w:b/>
          <w:color w:val="000000"/>
          <w:szCs w:val="22"/>
        </w:rPr>
        <w:lastRenderedPageBreak/>
        <w:t>REASONS FOR THE DECISION</w:t>
      </w:r>
    </w:p>
    <w:p w:rsidR="00651946" w:rsidRDefault="00651946" w:rsidP="00651946">
      <w:pPr>
        <w:autoSpaceDE w:val="0"/>
        <w:autoSpaceDN w:val="0"/>
        <w:adjustRightInd w:val="0"/>
        <w:rPr>
          <w:rFonts w:ascii="ArialMT" w:hAnsi="ArialMT" w:cs="ArialMT"/>
          <w:sz w:val="24"/>
          <w:szCs w:val="24"/>
        </w:rPr>
      </w:pPr>
    </w:p>
    <w:p w:rsidR="007A0801" w:rsidRPr="00651946" w:rsidRDefault="007D2754" w:rsidP="007D2754">
      <w:pPr>
        <w:autoSpaceDE w:val="0"/>
        <w:autoSpaceDN w:val="0"/>
        <w:adjustRightInd w:val="0"/>
        <w:ind w:left="720" w:hanging="720"/>
        <w:rPr>
          <w:rFonts w:cs="Arial"/>
          <w:szCs w:val="22"/>
        </w:rPr>
      </w:pPr>
      <w:r>
        <w:rPr>
          <w:rFonts w:cs="Arial"/>
          <w:szCs w:val="22"/>
        </w:rPr>
        <w:t>4.</w:t>
      </w:r>
      <w:r>
        <w:rPr>
          <w:rFonts w:cs="Arial"/>
          <w:szCs w:val="22"/>
        </w:rPr>
        <w:tab/>
      </w:r>
      <w:r w:rsidR="00651946" w:rsidRPr="00651946">
        <w:rPr>
          <w:rFonts w:cs="Arial"/>
          <w:szCs w:val="22"/>
        </w:rPr>
        <w:t>If approved, the recommendation will provide an additional tool for officers to enforce against a wider range of anti-social behaviours, perhaps where a statutory nuisance does not exist under the Environmental Protection Act 1990, yet where behaviour is persistent and is having a negative effect on a locality. This may particularly apply to the problem of untidy domestic gardens and other examples of anti-social behaviour.</w:t>
      </w:r>
    </w:p>
    <w:p w:rsidR="008C04DA" w:rsidRPr="00651946" w:rsidRDefault="008C04DA" w:rsidP="00651946">
      <w:pPr>
        <w:keepNext/>
        <w:outlineLvl w:val="0"/>
        <w:rPr>
          <w:szCs w:val="22"/>
        </w:rPr>
      </w:pPr>
    </w:p>
    <w:p w:rsidR="008C04DA" w:rsidRDefault="008C04DA" w:rsidP="002C71DE">
      <w:pPr>
        <w:keepNext/>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Pr="0095096C" w:rsidRDefault="008C04DA" w:rsidP="0095096C">
      <w:pPr>
        <w:keepNext/>
        <w:outlineLvl w:val="0"/>
        <w:rPr>
          <w:rFonts w:cs="Arial"/>
          <w:i/>
          <w:color w:val="2E74B5"/>
        </w:rPr>
      </w:pPr>
      <w:r w:rsidRPr="0095096C">
        <w:rPr>
          <w:rFonts w:cs="Arial"/>
        </w:rPr>
        <w:t>The report relates to the following corporate priorities</w:t>
      </w:r>
      <w:r w:rsidR="00970C70" w:rsidRPr="0095096C">
        <w:rPr>
          <w:rFonts w:cs="Arial"/>
        </w:rPr>
        <w:t>:</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A15749" w:rsidRDefault="000E5A3B" w:rsidP="00A975A7">
            <w:pPr>
              <w:rPr>
                <w:szCs w:val="22"/>
              </w:rPr>
            </w:pP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A15749" w:rsidRDefault="00A15749" w:rsidP="00A975A7">
            <w:pPr>
              <w:rPr>
                <w:szCs w:val="22"/>
              </w:rPr>
            </w:pPr>
            <w:r w:rsidRPr="00A15749">
              <w:rPr>
                <w:szCs w:val="22"/>
              </w:rPr>
              <w:t>x</w:t>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A15749" w:rsidP="00A975A7">
            <w:pPr>
              <w:rPr>
                <w:szCs w:val="22"/>
              </w:rPr>
            </w:pPr>
            <w:r>
              <w:rPr>
                <w:szCs w:val="22"/>
              </w:rPr>
              <w:t>x</w:t>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8D6F43" w:rsidP="00A975A7">
            <w:pPr>
              <w:rPr>
                <w:szCs w:val="22"/>
              </w:rPr>
            </w:pPr>
            <w:r>
              <w:rPr>
                <w:szCs w:val="22"/>
              </w:rPr>
              <w:t>x</w:t>
            </w:r>
          </w:p>
        </w:tc>
      </w:tr>
    </w:tbl>
    <w:p w:rsidR="008C04DA" w:rsidRPr="008C04DA" w:rsidRDefault="008C04DA" w:rsidP="008C04DA">
      <w:pPr>
        <w:keepNext/>
        <w:ind w:left="360"/>
        <w:outlineLvl w:val="0"/>
        <w:rPr>
          <w:szCs w:val="22"/>
        </w:rPr>
      </w:pPr>
    </w:p>
    <w:p w:rsidR="00EF3B6C" w:rsidRDefault="002F5C5E" w:rsidP="0095096C">
      <w:pPr>
        <w:keepNext/>
        <w:outlineLvl w:val="0"/>
        <w:rPr>
          <w:b/>
          <w:szCs w:val="22"/>
        </w:rPr>
      </w:pPr>
      <w:r w:rsidRPr="008C04DA">
        <w:rPr>
          <w:b/>
          <w:szCs w:val="22"/>
        </w:rPr>
        <w:t>BACKGROUND TO THE REPORT</w:t>
      </w:r>
    </w:p>
    <w:p w:rsidR="00D92DC7" w:rsidRDefault="00D92DC7" w:rsidP="0095096C">
      <w:pPr>
        <w:autoSpaceDE w:val="0"/>
        <w:autoSpaceDN w:val="0"/>
        <w:adjustRightInd w:val="0"/>
        <w:rPr>
          <w:rFonts w:ascii="Arial-BoldMT" w:hAnsi="Arial-BoldMT" w:cs="Arial-BoldMT"/>
          <w:b/>
          <w:bCs/>
          <w:sz w:val="24"/>
          <w:szCs w:val="24"/>
        </w:rPr>
      </w:pPr>
    </w:p>
    <w:p w:rsidR="00D92DC7" w:rsidRDefault="007D2754" w:rsidP="007D2754">
      <w:pPr>
        <w:ind w:left="720" w:hanging="720"/>
        <w:jc w:val="both"/>
        <w:rPr>
          <w:rFonts w:cs="Arial"/>
          <w:bCs/>
          <w:szCs w:val="22"/>
          <w:lang w:eastAsia="en-US"/>
        </w:rPr>
      </w:pPr>
      <w:r>
        <w:rPr>
          <w:rFonts w:cs="Arial"/>
          <w:szCs w:val="22"/>
        </w:rPr>
        <w:t>5.</w:t>
      </w:r>
      <w:r>
        <w:rPr>
          <w:rFonts w:cs="Arial"/>
          <w:szCs w:val="22"/>
        </w:rPr>
        <w:tab/>
      </w:r>
      <w:r w:rsidR="00D92DC7" w:rsidRPr="00CC43EA">
        <w:rPr>
          <w:rFonts w:cs="Arial"/>
          <w:szCs w:val="22"/>
        </w:rPr>
        <w:t>There is a duty on local authorities to consider crime and disorder implications within day to day</w:t>
      </w:r>
      <w:r w:rsidR="00CC43EA">
        <w:rPr>
          <w:rFonts w:cs="Arial"/>
          <w:szCs w:val="22"/>
        </w:rPr>
        <w:t xml:space="preserve"> activities. </w:t>
      </w:r>
      <w:r w:rsidR="00D92DC7" w:rsidRPr="00CC43EA">
        <w:rPr>
          <w:rFonts w:cs="Arial"/>
          <w:bCs/>
          <w:szCs w:val="22"/>
          <w:lang w:eastAsia="en-US"/>
        </w:rPr>
        <w:t xml:space="preserve">The purpose of a </w:t>
      </w:r>
      <w:r w:rsidR="00A501A1">
        <w:rPr>
          <w:rFonts w:cs="Arial"/>
          <w:bCs/>
          <w:szCs w:val="22"/>
          <w:lang w:eastAsia="en-US"/>
        </w:rPr>
        <w:t>Community Protection Notice (</w:t>
      </w:r>
      <w:r w:rsidR="00D92DC7" w:rsidRPr="00CC43EA">
        <w:rPr>
          <w:rFonts w:cs="Arial"/>
          <w:bCs/>
          <w:szCs w:val="22"/>
          <w:lang w:eastAsia="en-US"/>
        </w:rPr>
        <w:t>CPN</w:t>
      </w:r>
      <w:r w:rsidR="00A501A1">
        <w:rPr>
          <w:rFonts w:cs="Arial"/>
          <w:bCs/>
          <w:szCs w:val="22"/>
          <w:lang w:eastAsia="en-US"/>
        </w:rPr>
        <w:t>)</w:t>
      </w:r>
      <w:r w:rsidR="00D92DC7" w:rsidRPr="00CC43EA">
        <w:rPr>
          <w:rFonts w:cs="Arial"/>
          <w:bCs/>
          <w:szCs w:val="22"/>
          <w:lang w:eastAsia="en-US"/>
        </w:rPr>
        <w:t>, is to deal with individuals who cause on-going problems that have a detrimental effect on the community’s quality of life. The behaviour must have a detrimental effect on the quality of life of those in the locality; be of a persistent or continuing nature; and be unreasonable.</w:t>
      </w:r>
    </w:p>
    <w:p w:rsidR="00AB12A0" w:rsidRDefault="00AB12A0" w:rsidP="00D92DC7">
      <w:pPr>
        <w:jc w:val="both"/>
        <w:rPr>
          <w:rFonts w:cs="Arial"/>
          <w:bCs/>
          <w:szCs w:val="22"/>
          <w:lang w:eastAsia="en-US"/>
        </w:rPr>
      </w:pPr>
    </w:p>
    <w:p w:rsidR="00AB12A0" w:rsidRPr="00CC43EA" w:rsidRDefault="007D2754" w:rsidP="007D2754">
      <w:pPr>
        <w:pStyle w:val="Default"/>
        <w:ind w:left="720" w:hanging="720"/>
        <w:rPr>
          <w:sz w:val="22"/>
          <w:szCs w:val="22"/>
        </w:rPr>
      </w:pPr>
      <w:r>
        <w:rPr>
          <w:sz w:val="22"/>
          <w:szCs w:val="22"/>
        </w:rPr>
        <w:t>6.</w:t>
      </w:r>
      <w:r>
        <w:rPr>
          <w:sz w:val="22"/>
          <w:szCs w:val="22"/>
        </w:rPr>
        <w:tab/>
      </w:r>
      <w:r w:rsidR="00AB12A0" w:rsidRPr="00CC43EA">
        <w:rPr>
          <w:sz w:val="22"/>
          <w:szCs w:val="22"/>
        </w:rPr>
        <w:t xml:space="preserve">The council is strengthening its operational capacity to tackle anti-social behaviour and intends to make strong use of Community Protection Notices (CPNs). CPNs were introduced by the Anti-Social Behaviour, Crime &amp; Policing Act 2014 as an intervention/enforcement power. They can be issued to individuals, businesses or organisations responsible for anti-social behaviour affecting a community. The formal intervention process starts when an enforcement officer is satisfied that unacceptable anti-social behaviour has taken place for which it is legally appropriate to issue a CPN. </w:t>
      </w:r>
    </w:p>
    <w:p w:rsidR="00AB12A0" w:rsidRPr="00CC43EA" w:rsidRDefault="00AB12A0" w:rsidP="00D92DC7">
      <w:pPr>
        <w:jc w:val="both"/>
        <w:rPr>
          <w:rFonts w:cs="Arial"/>
          <w:szCs w:val="22"/>
        </w:rPr>
      </w:pPr>
    </w:p>
    <w:p w:rsidR="00D92DC7" w:rsidRPr="00CC43EA" w:rsidRDefault="007D2754" w:rsidP="007D2754">
      <w:pPr>
        <w:ind w:left="720" w:hanging="720"/>
        <w:jc w:val="both"/>
        <w:rPr>
          <w:rFonts w:cs="Arial"/>
          <w:bCs/>
          <w:szCs w:val="22"/>
          <w:lang w:eastAsia="en-US"/>
        </w:rPr>
      </w:pPr>
      <w:r>
        <w:rPr>
          <w:rFonts w:cs="Arial"/>
          <w:bCs/>
          <w:szCs w:val="22"/>
          <w:lang w:eastAsia="en-US"/>
        </w:rPr>
        <w:t>7.</w:t>
      </w:r>
      <w:r>
        <w:rPr>
          <w:rFonts w:cs="Arial"/>
          <w:bCs/>
          <w:szCs w:val="22"/>
          <w:lang w:eastAsia="en-US"/>
        </w:rPr>
        <w:tab/>
      </w:r>
      <w:r w:rsidR="00D92DC7" w:rsidRPr="00CC43EA">
        <w:rPr>
          <w:rFonts w:cs="Arial"/>
          <w:bCs/>
          <w:szCs w:val="22"/>
          <w:lang w:eastAsia="en-US"/>
        </w:rPr>
        <w:t>Council officers and the Police can issue CPNs additionally, PCSOs</w:t>
      </w:r>
      <w:r w:rsidR="00A501A1">
        <w:rPr>
          <w:rFonts w:cs="Arial"/>
          <w:bCs/>
          <w:szCs w:val="22"/>
          <w:lang w:eastAsia="en-US"/>
        </w:rPr>
        <w:t xml:space="preserve"> and social landlords</w:t>
      </w:r>
      <w:r w:rsidR="00D92DC7" w:rsidRPr="00CC43EA">
        <w:rPr>
          <w:rFonts w:cs="Arial"/>
          <w:bCs/>
          <w:szCs w:val="22"/>
          <w:lang w:eastAsia="en-US"/>
        </w:rPr>
        <w:t xml:space="preserve"> can issue them if the p</w:t>
      </w:r>
      <w:r w:rsidR="00A501A1">
        <w:rPr>
          <w:rFonts w:cs="Arial"/>
          <w:bCs/>
          <w:szCs w:val="22"/>
          <w:lang w:eastAsia="en-US"/>
        </w:rPr>
        <w:t>owers are designated them</w:t>
      </w:r>
      <w:r w:rsidR="00D92DC7" w:rsidRPr="00CC43EA">
        <w:rPr>
          <w:rFonts w:cs="Arial"/>
          <w:bCs/>
          <w:szCs w:val="22"/>
          <w:lang w:eastAsia="en-US"/>
        </w:rPr>
        <w:t xml:space="preserve">. However, in Lancashire there is an agreement that the councils will lead on the issuing of CPNs for their own purposes and </w:t>
      </w:r>
      <w:r w:rsidR="00D92DC7" w:rsidRPr="00CC43EA">
        <w:rPr>
          <w:rFonts w:cs="Arial"/>
          <w:bCs/>
          <w:szCs w:val="22"/>
          <w:lang w:eastAsia="en-US"/>
        </w:rPr>
        <w:lastRenderedPageBreak/>
        <w:t>also if approached by the Police or a social landlord.  At the time of the report SRBC have not been approached by a social landlord to issue a CPN.</w:t>
      </w:r>
    </w:p>
    <w:p w:rsidR="00D92DC7" w:rsidRPr="00CC43EA" w:rsidRDefault="00D92DC7" w:rsidP="00D92DC7">
      <w:pPr>
        <w:jc w:val="both"/>
        <w:rPr>
          <w:rFonts w:cs="Arial"/>
          <w:bCs/>
          <w:szCs w:val="22"/>
          <w:lang w:eastAsia="en-US"/>
        </w:rPr>
      </w:pPr>
    </w:p>
    <w:p w:rsidR="007D2754" w:rsidRDefault="007D2754" w:rsidP="007D2754">
      <w:pPr>
        <w:ind w:left="720" w:hanging="720"/>
        <w:jc w:val="both"/>
        <w:rPr>
          <w:rFonts w:cs="Arial"/>
          <w:bCs/>
          <w:szCs w:val="22"/>
          <w:lang w:eastAsia="en-US"/>
        </w:rPr>
      </w:pPr>
      <w:r>
        <w:rPr>
          <w:rFonts w:cs="Arial"/>
          <w:bCs/>
          <w:szCs w:val="22"/>
          <w:lang w:eastAsia="en-US"/>
        </w:rPr>
        <w:t>8.</w:t>
      </w:r>
      <w:r>
        <w:rPr>
          <w:rFonts w:cs="Arial"/>
          <w:bCs/>
          <w:szCs w:val="22"/>
          <w:lang w:eastAsia="en-US"/>
        </w:rPr>
        <w:tab/>
      </w:r>
      <w:r w:rsidR="00D92DC7" w:rsidRPr="00CC43EA">
        <w:rPr>
          <w:rFonts w:cs="Arial"/>
          <w:bCs/>
          <w:szCs w:val="22"/>
          <w:lang w:eastAsia="en-US"/>
        </w:rPr>
        <w:t xml:space="preserve">Prior to issuing a CPN, a Community Protection Warning (CPW) must have been issued. A CPW cannot be challenged and the recipient has no right to appeal, nor to have sight of any confidential information that the CPW is based upon or disclosure by way of an FOI. This information would only be disclosed if an appeal against a formal CPN is issued. </w:t>
      </w:r>
    </w:p>
    <w:p w:rsidR="007D2754" w:rsidRDefault="007D2754" w:rsidP="007D2754">
      <w:pPr>
        <w:ind w:left="720" w:hanging="720"/>
        <w:jc w:val="both"/>
        <w:rPr>
          <w:rFonts w:cs="Arial"/>
          <w:bCs/>
          <w:szCs w:val="22"/>
          <w:lang w:eastAsia="en-US"/>
        </w:rPr>
      </w:pPr>
    </w:p>
    <w:p w:rsidR="00D92DC7" w:rsidRPr="00CC43EA" w:rsidRDefault="007D2754" w:rsidP="007D2754">
      <w:pPr>
        <w:ind w:left="720" w:hanging="720"/>
        <w:jc w:val="both"/>
        <w:rPr>
          <w:rFonts w:cs="Arial"/>
          <w:bCs/>
          <w:szCs w:val="22"/>
          <w:lang w:eastAsia="en-US"/>
        </w:rPr>
      </w:pPr>
      <w:r>
        <w:rPr>
          <w:rFonts w:cs="Arial"/>
          <w:bCs/>
          <w:szCs w:val="22"/>
          <w:lang w:eastAsia="en-US"/>
        </w:rPr>
        <w:t>9.</w:t>
      </w:r>
      <w:r>
        <w:rPr>
          <w:rFonts w:cs="Arial"/>
          <w:bCs/>
          <w:szCs w:val="22"/>
          <w:lang w:eastAsia="en-US"/>
        </w:rPr>
        <w:tab/>
      </w:r>
      <w:r w:rsidR="00D92DC7" w:rsidRPr="00CC43EA">
        <w:rPr>
          <w:rFonts w:cs="Arial"/>
          <w:bCs/>
          <w:szCs w:val="22"/>
          <w:lang w:eastAsia="en-US"/>
        </w:rPr>
        <w:t>In order to provide some context into the effectiveness of the CPN process, it was reported at a recent event that one Authority, had issued 501 CPWs, 78 CPNs and carried out only seven prosecutions.</w:t>
      </w:r>
    </w:p>
    <w:p w:rsidR="00D92DC7" w:rsidRPr="00CC43EA" w:rsidRDefault="00D92DC7" w:rsidP="00D92DC7">
      <w:pPr>
        <w:jc w:val="both"/>
        <w:rPr>
          <w:rFonts w:cs="Arial"/>
          <w:bCs/>
          <w:szCs w:val="22"/>
          <w:lang w:eastAsia="en-US"/>
        </w:rPr>
      </w:pPr>
    </w:p>
    <w:p w:rsidR="00D92DC7" w:rsidRPr="00CC43EA" w:rsidRDefault="007D2754" w:rsidP="007D2754">
      <w:pPr>
        <w:ind w:left="720" w:hanging="720"/>
        <w:jc w:val="both"/>
        <w:rPr>
          <w:rFonts w:cs="Arial"/>
          <w:bCs/>
          <w:szCs w:val="22"/>
          <w:lang w:eastAsia="en-US"/>
        </w:rPr>
      </w:pPr>
      <w:r>
        <w:rPr>
          <w:rFonts w:cs="Arial"/>
          <w:bCs/>
          <w:szCs w:val="22"/>
          <w:lang w:eastAsia="en-US"/>
        </w:rPr>
        <w:t>10.</w:t>
      </w:r>
      <w:r>
        <w:rPr>
          <w:rFonts w:cs="Arial"/>
          <w:bCs/>
          <w:szCs w:val="22"/>
          <w:lang w:eastAsia="en-US"/>
        </w:rPr>
        <w:tab/>
      </w:r>
      <w:r w:rsidR="00D92DC7" w:rsidRPr="00CC43EA">
        <w:rPr>
          <w:rFonts w:cs="Arial"/>
          <w:bCs/>
          <w:szCs w:val="22"/>
          <w:lang w:eastAsia="en-US"/>
        </w:rPr>
        <w:t>A CPN, can be issued to any person over 16 years of age or to the most appropriate person for a body, such as a business.  If an individual cannot be identified, a CPN can be served on a premises providing that reasonable enquiries have been made, including land registry searches.</w:t>
      </w:r>
    </w:p>
    <w:p w:rsidR="00D92DC7" w:rsidRPr="00CC43EA" w:rsidRDefault="00D92DC7" w:rsidP="00D92DC7">
      <w:pPr>
        <w:jc w:val="both"/>
        <w:rPr>
          <w:rFonts w:cs="Arial"/>
          <w:bCs/>
          <w:szCs w:val="22"/>
          <w:lang w:eastAsia="en-US"/>
        </w:rPr>
      </w:pPr>
    </w:p>
    <w:p w:rsidR="00D92DC7" w:rsidRPr="00CC43EA" w:rsidRDefault="007D2754" w:rsidP="007D2754">
      <w:pPr>
        <w:ind w:left="720" w:hanging="720"/>
        <w:jc w:val="both"/>
        <w:rPr>
          <w:rFonts w:cs="Arial"/>
          <w:bCs/>
          <w:szCs w:val="22"/>
          <w:lang w:eastAsia="en-US"/>
        </w:rPr>
      </w:pPr>
      <w:r>
        <w:rPr>
          <w:rFonts w:cs="Arial"/>
          <w:bCs/>
          <w:szCs w:val="22"/>
          <w:lang w:eastAsia="en-US"/>
        </w:rPr>
        <w:t>11.</w:t>
      </w:r>
      <w:r>
        <w:rPr>
          <w:rFonts w:cs="Arial"/>
          <w:bCs/>
          <w:szCs w:val="22"/>
          <w:lang w:eastAsia="en-US"/>
        </w:rPr>
        <w:tab/>
      </w:r>
      <w:r w:rsidR="00D92DC7" w:rsidRPr="00CC43EA">
        <w:rPr>
          <w:rFonts w:cs="Arial"/>
          <w:bCs/>
          <w:szCs w:val="22"/>
          <w:lang w:eastAsia="en-US"/>
        </w:rPr>
        <w:t xml:space="preserve">The penalties attached to the breach of a CPN includes a fixed penalty notice, which can be issued by the council as a way of discharging the breach. Alternatively a decision may be made to prosecute, upon conviction a remedial order, forfeiture order or a warrant for seizure of goods can be granted by the court. </w:t>
      </w:r>
    </w:p>
    <w:p w:rsidR="00D92DC7" w:rsidRPr="00CC43EA" w:rsidRDefault="00D92DC7" w:rsidP="00D92DC7">
      <w:pPr>
        <w:jc w:val="both"/>
        <w:rPr>
          <w:rFonts w:cs="Arial"/>
          <w:bCs/>
          <w:szCs w:val="22"/>
          <w:lang w:eastAsia="en-US"/>
        </w:rPr>
      </w:pPr>
    </w:p>
    <w:p w:rsidR="00D92DC7" w:rsidRPr="00CC43EA" w:rsidRDefault="007D2754" w:rsidP="007D2754">
      <w:pPr>
        <w:ind w:left="720" w:hanging="720"/>
        <w:jc w:val="both"/>
        <w:rPr>
          <w:rFonts w:cs="Arial"/>
          <w:bCs/>
          <w:szCs w:val="22"/>
          <w:lang w:eastAsia="en-US"/>
        </w:rPr>
      </w:pPr>
      <w:r>
        <w:rPr>
          <w:rFonts w:cs="Arial"/>
          <w:bCs/>
          <w:szCs w:val="22"/>
          <w:lang w:eastAsia="en-US"/>
        </w:rPr>
        <w:t>12.</w:t>
      </w:r>
      <w:r>
        <w:rPr>
          <w:rFonts w:cs="Arial"/>
          <w:bCs/>
          <w:szCs w:val="22"/>
          <w:lang w:eastAsia="en-US"/>
        </w:rPr>
        <w:tab/>
      </w:r>
      <w:r w:rsidR="00D92DC7" w:rsidRPr="00CC43EA">
        <w:rPr>
          <w:rFonts w:cs="Arial"/>
          <w:bCs/>
          <w:szCs w:val="22"/>
          <w:lang w:eastAsia="en-US"/>
        </w:rPr>
        <w:t xml:space="preserve">Most recently, the local neighbourhood policing team (NPT), have approached the council to jointly issue CPWs to young people and in some instances parents in order to address anti-social behaviour that is having a detrimental effect on the community, these are still under development. </w:t>
      </w:r>
    </w:p>
    <w:p w:rsidR="00D92DC7" w:rsidRPr="00CC43EA" w:rsidRDefault="00D92DC7" w:rsidP="00D92DC7">
      <w:pPr>
        <w:jc w:val="both"/>
        <w:rPr>
          <w:rFonts w:cs="Arial"/>
          <w:bCs/>
          <w:szCs w:val="22"/>
          <w:lang w:eastAsia="en-US"/>
        </w:rPr>
      </w:pPr>
    </w:p>
    <w:p w:rsidR="00D92DC7" w:rsidRPr="00CC43EA" w:rsidRDefault="007D2754" w:rsidP="007D2754">
      <w:pPr>
        <w:ind w:left="720" w:hanging="720"/>
        <w:jc w:val="both"/>
        <w:rPr>
          <w:rFonts w:cs="Arial"/>
          <w:bCs/>
          <w:szCs w:val="22"/>
          <w:lang w:eastAsia="en-US"/>
        </w:rPr>
      </w:pPr>
      <w:r>
        <w:rPr>
          <w:rFonts w:cs="Arial"/>
          <w:bCs/>
          <w:szCs w:val="22"/>
          <w:lang w:eastAsia="en-US"/>
        </w:rPr>
        <w:t>13.</w:t>
      </w:r>
      <w:r>
        <w:rPr>
          <w:rFonts w:cs="Arial"/>
          <w:bCs/>
          <w:szCs w:val="22"/>
          <w:lang w:eastAsia="en-US"/>
        </w:rPr>
        <w:tab/>
      </w:r>
      <w:r w:rsidR="00D92DC7" w:rsidRPr="00CC43EA">
        <w:rPr>
          <w:rFonts w:cs="Arial"/>
          <w:bCs/>
          <w:szCs w:val="22"/>
          <w:lang w:eastAsia="en-US"/>
        </w:rPr>
        <w:t>The agreement with the local NPT going forward, is that when they approach the council to serve a CPW, where the criteria is met, the Community Safety Officer will work with the NPT in order to draw up the CPWs. There will be a joint signatory between the police and the council and also for any associated media. The NPT will be responsible for ensuring that the warning is adhered to however, if another agency, such as the council or social landlord witnesses any breaches they will be asked to produce evidence and a statement to that effect.</w:t>
      </w:r>
    </w:p>
    <w:p w:rsidR="00D92DC7" w:rsidRPr="00CC43EA" w:rsidRDefault="00D92DC7" w:rsidP="00D92DC7">
      <w:pPr>
        <w:jc w:val="both"/>
        <w:rPr>
          <w:rFonts w:cs="Arial"/>
          <w:bCs/>
          <w:szCs w:val="22"/>
          <w:lang w:eastAsia="en-US"/>
        </w:rPr>
      </w:pPr>
    </w:p>
    <w:p w:rsidR="00D92DC7" w:rsidRPr="00CC43EA" w:rsidRDefault="007D2754" w:rsidP="007D2754">
      <w:pPr>
        <w:ind w:left="720" w:hanging="720"/>
        <w:jc w:val="both"/>
        <w:rPr>
          <w:rFonts w:cs="Arial"/>
          <w:bCs/>
          <w:szCs w:val="22"/>
          <w:lang w:eastAsia="en-US"/>
        </w:rPr>
      </w:pPr>
      <w:r>
        <w:rPr>
          <w:rFonts w:cs="Arial"/>
          <w:bCs/>
          <w:szCs w:val="22"/>
          <w:lang w:eastAsia="en-US"/>
        </w:rPr>
        <w:t>14.</w:t>
      </w:r>
      <w:r>
        <w:rPr>
          <w:rFonts w:cs="Arial"/>
          <w:bCs/>
          <w:szCs w:val="22"/>
          <w:lang w:eastAsia="en-US"/>
        </w:rPr>
        <w:tab/>
      </w:r>
      <w:r w:rsidR="00D92DC7" w:rsidRPr="00CC43EA">
        <w:rPr>
          <w:rFonts w:cs="Arial"/>
          <w:bCs/>
          <w:szCs w:val="22"/>
          <w:lang w:eastAsia="en-US"/>
        </w:rPr>
        <w:t>Subsequently, if an agreement is made for a CPN to be issued, the NPT will also be responsible for monitoring any breaches and gathering evidence to that effect to produce to the council’s legal team in order to consider issuing a fixed penalty notice or for intended prosecution. A discussion between the councils legal team on the police’ legal team will be had to determine and agree who is best placed to prosecute.</w:t>
      </w:r>
    </w:p>
    <w:p w:rsidR="00D92DC7" w:rsidRPr="00CC43EA" w:rsidRDefault="00D92DC7" w:rsidP="00D92DC7">
      <w:pPr>
        <w:pStyle w:val="Default"/>
        <w:rPr>
          <w:sz w:val="22"/>
          <w:szCs w:val="22"/>
        </w:rPr>
      </w:pPr>
    </w:p>
    <w:p w:rsidR="00D92DC7" w:rsidRPr="00CC43EA" w:rsidRDefault="00D92DC7" w:rsidP="00D92DC7">
      <w:pPr>
        <w:pStyle w:val="Default"/>
        <w:rPr>
          <w:sz w:val="22"/>
          <w:szCs w:val="22"/>
        </w:rPr>
      </w:pPr>
      <w:r w:rsidRPr="00CC43EA">
        <w:rPr>
          <w:sz w:val="22"/>
          <w:szCs w:val="22"/>
        </w:rPr>
        <w:t xml:space="preserve"> </w:t>
      </w:r>
    </w:p>
    <w:p w:rsidR="008C04DA" w:rsidRPr="00CC43EA" w:rsidRDefault="008C04DA" w:rsidP="007D2754">
      <w:pPr>
        <w:keepNext/>
        <w:outlineLvl w:val="0"/>
        <w:rPr>
          <w:rFonts w:cs="Arial"/>
          <w:szCs w:val="22"/>
        </w:rPr>
      </w:pPr>
    </w:p>
    <w:p w:rsidR="008C04DA" w:rsidRPr="00CC43EA" w:rsidRDefault="0037228A" w:rsidP="002C71DE">
      <w:pPr>
        <w:keepNext/>
        <w:outlineLvl w:val="0"/>
        <w:rPr>
          <w:rFonts w:cs="Arial"/>
          <w:b/>
          <w:szCs w:val="22"/>
        </w:rPr>
      </w:pPr>
      <w:r w:rsidRPr="00CC43EA">
        <w:rPr>
          <w:rFonts w:cs="Arial"/>
          <w:b/>
          <w:szCs w:val="22"/>
        </w:rPr>
        <w:t xml:space="preserve">PROPOSALS </w:t>
      </w:r>
      <w:r w:rsidR="002F5C5E" w:rsidRPr="00CC43EA">
        <w:rPr>
          <w:rFonts w:cs="Arial"/>
          <w:b/>
          <w:szCs w:val="22"/>
        </w:rPr>
        <w:t>(e.g.</w:t>
      </w:r>
      <w:r w:rsidR="00814F6D" w:rsidRPr="00CC43EA">
        <w:rPr>
          <w:rFonts w:cs="Arial"/>
          <w:b/>
          <w:szCs w:val="22"/>
        </w:rPr>
        <w:t xml:space="preserve"> </w:t>
      </w:r>
      <w:r w:rsidR="002F5C5E" w:rsidRPr="00CC43EA">
        <w:rPr>
          <w:rFonts w:cs="Arial"/>
          <w:b/>
          <w:szCs w:val="22"/>
        </w:rPr>
        <w:t>RATIONALE, DETAIL</w:t>
      </w:r>
      <w:r w:rsidR="00D37BAE" w:rsidRPr="00CC43EA">
        <w:rPr>
          <w:rFonts w:cs="Arial"/>
          <w:b/>
          <w:szCs w:val="22"/>
        </w:rPr>
        <w:t>, FINANCIAL, PROCUREMENT</w:t>
      </w:r>
      <w:r w:rsidR="002F5C5E" w:rsidRPr="00CC43EA">
        <w:rPr>
          <w:rFonts w:cs="Arial"/>
          <w:b/>
          <w:szCs w:val="22"/>
        </w:rPr>
        <w:t>)</w:t>
      </w:r>
    </w:p>
    <w:p w:rsidR="008C04DA" w:rsidRDefault="008C04DA" w:rsidP="007D2754">
      <w:pPr>
        <w:rPr>
          <w:rFonts w:eastAsia="Calibri" w:cs="Arial"/>
          <w:szCs w:val="22"/>
          <w:lang w:eastAsia="en-US"/>
        </w:rPr>
      </w:pPr>
    </w:p>
    <w:p w:rsidR="007D2754" w:rsidRDefault="007D2754" w:rsidP="007D2754">
      <w:pPr>
        <w:ind w:left="720" w:hanging="720"/>
        <w:rPr>
          <w:rFonts w:eastAsia="Calibri" w:cs="Arial"/>
          <w:szCs w:val="22"/>
          <w:lang w:eastAsia="en-US"/>
        </w:rPr>
      </w:pPr>
      <w:r>
        <w:rPr>
          <w:rFonts w:eastAsia="Calibri" w:cs="Arial"/>
          <w:szCs w:val="22"/>
          <w:lang w:eastAsia="en-US"/>
        </w:rPr>
        <w:t>15.</w:t>
      </w:r>
      <w:r>
        <w:rPr>
          <w:rFonts w:eastAsia="Calibri" w:cs="Arial"/>
          <w:szCs w:val="22"/>
          <w:lang w:eastAsia="en-US"/>
        </w:rPr>
        <w:tab/>
        <w:t xml:space="preserve">To use the </w:t>
      </w:r>
      <w:r w:rsidRPr="007D2754">
        <w:rPr>
          <w:rFonts w:eastAsia="Calibri" w:cs="Arial"/>
          <w:szCs w:val="22"/>
          <w:lang w:eastAsia="en-US"/>
        </w:rPr>
        <w:t>powers available under Part 4 of the Anti-social Behaviour, Crime and Policing Act 2014 in the form of Community Protection Notices to enforce against anti-social behaviour that is having a detrimental effect on the quality of life for those in a locality, and is unreasonable, and is of a persistent or continuing nature.</w:t>
      </w:r>
    </w:p>
    <w:p w:rsidR="007D2754" w:rsidRPr="00CC43EA" w:rsidRDefault="007D2754" w:rsidP="007D2754">
      <w:pPr>
        <w:rPr>
          <w:rFonts w:cs="Arial"/>
          <w:b/>
          <w:szCs w:val="22"/>
        </w:rPr>
      </w:pPr>
    </w:p>
    <w:p w:rsidR="007A0801" w:rsidRPr="00CC43EA" w:rsidRDefault="001A24F9" w:rsidP="002C71DE">
      <w:pPr>
        <w:rPr>
          <w:rFonts w:cs="Arial"/>
          <w:b/>
          <w:szCs w:val="22"/>
        </w:rPr>
      </w:pPr>
      <w:r w:rsidRPr="00CC43EA">
        <w:rPr>
          <w:rFonts w:cs="Arial"/>
          <w:b/>
          <w:szCs w:val="22"/>
        </w:rPr>
        <w:t>CONSULTATION CARRIED</w:t>
      </w:r>
      <w:r w:rsidR="007A0801" w:rsidRPr="00CC43EA">
        <w:rPr>
          <w:rFonts w:cs="Arial"/>
          <w:b/>
          <w:szCs w:val="22"/>
        </w:rPr>
        <w:t xml:space="preserve"> OUT AND OUTCOME OF CONSULTATION</w:t>
      </w:r>
    </w:p>
    <w:p w:rsidR="007A0801" w:rsidRPr="00CC43EA" w:rsidRDefault="007A0801" w:rsidP="007A0801">
      <w:pPr>
        <w:ind w:left="567"/>
        <w:rPr>
          <w:rFonts w:cs="Arial"/>
          <w:b/>
          <w:szCs w:val="22"/>
        </w:rPr>
      </w:pPr>
    </w:p>
    <w:p w:rsidR="001A24F9" w:rsidRPr="007D2754" w:rsidRDefault="007D2754" w:rsidP="007D2754">
      <w:pPr>
        <w:ind w:left="720" w:hanging="720"/>
        <w:rPr>
          <w:rFonts w:cs="Arial"/>
          <w:szCs w:val="22"/>
        </w:rPr>
      </w:pPr>
      <w:r>
        <w:rPr>
          <w:rFonts w:cs="Arial"/>
          <w:szCs w:val="22"/>
        </w:rPr>
        <w:t>16.</w:t>
      </w:r>
      <w:r>
        <w:rPr>
          <w:rFonts w:cs="Arial"/>
          <w:szCs w:val="22"/>
        </w:rPr>
        <w:tab/>
        <w:t>The Community Safety Partnership has been consulted on the proposal and are supportive of the use of Community Protection Notices.</w:t>
      </w:r>
    </w:p>
    <w:p w:rsidR="0095096C" w:rsidRPr="00CC43EA" w:rsidRDefault="0095096C" w:rsidP="0095096C">
      <w:pPr>
        <w:rPr>
          <w:rFonts w:cs="Arial"/>
          <w:b/>
          <w:color w:val="2E74B5" w:themeColor="accent1" w:themeShade="BF"/>
          <w:szCs w:val="22"/>
        </w:rPr>
      </w:pPr>
    </w:p>
    <w:p w:rsidR="001A24F9" w:rsidRPr="00CC43EA" w:rsidRDefault="008770BE" w:rsidP="002C71DE">
      <w:pPr>
        <w:rPr>
          <w:rFonts w:cs="Arial"/>
          <w:b/>
          <w:szCs w:val="22"/>
        </w:rPr>
      </w:pPr>
      <w:r w:rsidRPr="00CC43EA">
        <w:rPr>
          <w:rFonts w:cs="Arial"/>
          <w:b/>
          <w:szCs w:val="22"/>
        </w:rPr>
        <w:t>ALTER</w:t>
      </w:r>
      <w:r w:rsidR="00594D09" w:rsidRPr="00CC43EA">
        <w:rPr>
          <w:rFonts w:cs="Arial"/>
          <w:b/>
          <w:szCs w:val="22"/>
        </w:rPr>
        <w:t xml:space="preserve">NATIVE </w:t>
      </w:r>
      <w:r w:rsidR="001A24F9" w:rsidRPr="00CC43EA">
        <w:rPr>
          <w:rFonts w:cs="Arial"/>
          <w:b/>
          <w:szCs w:val="22"/>
        </w:rPr>
        <w:t xml:space="preserve">OPTIONS CONSIDERED </w:t>
      </w:r>
      <w:r w:rsidR="00CC4337" w:rsidRPr="00CC43EA">
        <w:rPr>
          <w:rFonts w:cs="Arial"/>
          <w:b/>
          <w:szCs w:val="22"/>
        </w:rPr>
        <w:t>AND REJECTED</w:t>
      </w:r>
    </w:p>
    <w:p w:rsidR="007A0801" w:rsidRPr="00CC43EA" w:rsidRDefault="007A0801" w:rsidP="007A0801">
      <w:pPr>
        <w:ind w:left="567"/>
        <w:rPr>
          <w:rFonts w:cs="Arial"/>
          <w:b/>
          <w:szCs w:val="22"/>
        </w:rPr>
      </w:pPr>
    </w:p>
    <w:p w:rsidR="001A24F9" w:rsidRPr="00CC43EA" w:rsidRDefault="007D2754" w:rsidP="007D2754">
      <w:pPr>
        <w:autoSpaceDE w:val="0"/>
        <w:autoSpaceDN w:val="0"/>
        <w:adjustRightInd w:val="0"/>
        <w:ind w:left="720" w:hanging="720"/>
        <w:rPr>
          <w:rFonts w:cs="Arial"/>
          <w:szCs w:val="22"/>
        </w:rPr>
      </w:pPr>
      <w:r>
        <w:rPr>
          <w:rFonts w:cs="Arial"/>
          <w:szCs w:val="22"/>
        </w:rPr>
        <w:t>17.</w:t>
      </w:r>
      <w:r>
        <w:rPr>
          <w:rFonts w:cs="Arial"/>
          <w:szCs w:val="22"/>
        </w:rPr>
        <w:tab/>
      </w:r>
      <w:r w:rsidR="0095096C" w:rsidRPr="00CC43EA">
        <w:rPr>
          <w:rFonts w:cs="Arial"/>
          <w:szCs w:val="22"/>
        </w:rPr>
        <w:t>To not make use of Community Protection Notices. This option is discounted, as the</w:t>
      </w:r>
      <w:r>
        <w:rPr>
          <w:rFonts w:cs="Arial"/>
          <w:szCs w:val="22"/>
        </w:rPr>
        <w:t xml:space="preserve"> </w:t>
      </w:r>
      <w:r w:rsidR="0095096C" w:rsidRPr="00CC43EA">
        <w:rPr>
          <w:rFonts w:cs="Arial"/>
          <w:szCs w:val="22"/>
        </w:rPr>
        <w:t>Community Protection Notice or CPN is a powerful tool. It is available to local</w:t>
      </w:r>
      <w:r>
        <w:rPr>
          <w:rFonts w:cs="Arial"/>
          <w:szCs w:val="22"/>
        </w:rPr>
        <w:t xml:space="preserve"> </w:t>
      </w:r>
      <w:r w:rsidR="0095096C" w:rsidRPr="00CC43EA">
        <w:rPr>
          <w:rFonts w:cs="Arial"/>
          <w:szCs w:val="22"/>
        </w:rPr>
        <w:t>authorities to tackle behaviours that cause distress and impacts on a locality that may be</w:t>
      </w:r>
      <w:r w:rsidR="00F46B79">
        <w:rPr>
          <w:rFonts w:cs="Arial"/>
          <w:szCs w:val="22"/>
        </w:rPr>
        <w:t xml:space="preserve"> </w:t>
      </w:r>
      <w:r w:rsidR="0095096C" w:rsidRPr="00CC43EA">
        <w:rPr>
          <w:rFonts w:cs="Arial"/>
          <w:szCs w:val="22"/>
        </w:rPr>
        <w:t xml:space="preserve">more difficult to </w:t>
      </w:r>
      <w:r w:rsidR="00F46B79">
        <w:rPr>
          <w:rFonts w:cs="Arial"/>
          <w:szCs w:val="22"/>
        </w:rPr>
        <w:t xml:space="preserve">tackle using other legislation. </w:t>
      </w:r>
      <w:r w:rsidR="0095096C" w:rsidRPr="00CC43EA">
        <w:rPr>
          <w:rFonts w:cs="Arial"/>
          <w:szCs w:val="22"/>
        </w:rPr>
        <w:t>Not adopting the use of CPNs reduces the</w:t>
      </w:r>
      <w:r>
        <w:rPr>
          <w:rFonts w:cs="Arial"/>
          <w:szCs w:val="22"/>
        </w:rPr>
        <w:t xml:space="preserve"> </w:t>
      </w:r>
      <w:r w:rsidR="0095096C" w:rsidRPr="00CC43EA">
        <w:rPr>
          <w:rFonts w:cs="Arial"/>
          <w:szCs w:val="22"/>
        </w:rPr>
        <w:t>possibilities open to the Council for dealing with matters that have long term effects on</w:t>
      </w:r>
      <w:r>
        <w:rPr>
          <w:rFonts w:cs="Arial"/>
          <w:szCs w:val="22"/>
        </w:rPr>
        <w:t xml:space="preserve"> </w:t>
      </w:r>
      <w:r w:rsidR="0095096C" w:rsidRPr="00CC43EA">
        <w:rPr>
          <w:rFonts w:cs="Arial"/>
          <w:szCs w:val="22"/>
        </w:rPr>
        <w:t>residents and where other powers may not be suitable or as effective.</w:t>
      </w:r>
    </w:p>
    <w:p w:rsidR="0095096C" w:rsidRPr="00CC43EA" w:rsidRDefault="0095096C" w:rsidP="0095096C">
      <w:pPr>
        <w:rPr>
          <w:rFonts w:cs="Arial"/>
          <w:b/>
          <w:szCs w:val="22"/>
        </w:rPr>
      </w:pPr>
    </w:p>
    <w:p w:rsidR="001A24F9" w:rsidRPr="00CC43EA" w:rsidRDefault="001A24F9" w:rsidP="002C71DE">
      <w:pPr>
        <w:rPr>
          <w:rFonts w:cs="Arial"/>
          <w:b/>
          <w:caps/>
          <w:szCs w:val="22"/>
        </w:rPr>
      </w:pPr>
      <w:r w:rsidRPr="00CC43EA">
        <w:rPr>
          <w:rFonts w:cs="Arial"/>
          <w:b/>
          <w:caps/>
          <w:szCs w:val="22"/>
        </w:rPr>
        <w:t>Financial implications</w:t>
      </w:r>
    </w:p>
    <w:p w:rsidR="007A0801" w:rsidRPr="00CC43EA" w:rsidRDefault="007A0801" w:rsidP="007A0801">
      <w:pPr>
        <w:ind w:left="567"/>
        <w:rPr>
          <w:rFonts w:cs="Arial"/>
          <w:b/>
          <w:caps/>
          <w:szCs w:val="22"/>
        </w:rPr>
      </w:pPr>
    </w:p>
    <w:p w:rsidR="0095096C" w:rsidRDefault="00F46B79" w:rsidP="00F46B79">
      <w:pPr>
        <w:autoSpaceDE w:val="0"/>
        <w:autoSpaceDN w:val="0"/>
        <w:adjustRightInd w:val="0"/>
        <w:ind w:left="720" w:hanging="720"/>
        <w:rPr>
          <w:rFonts w:cs="Arial"/>
          <w:szCs w:val="22"/>
        </w:rPr>
      </w:pPr>
      <w:r>
        <w:rPr>
          <w:rFonts w:cs="Arial"/>
          <w:szCs w:val="22"/>
        </w:rPr>
        <w:t>18.</w:t>
      </w:r>
      <w:r>
        <w:rPr>
          <w:rFonts w:cs="Arial"/>
          <w:szCs w:val="22"/>
        </w:rPr>
        <w:tab/>
      </w:r>
      <w:r w:rsidR="0095096C" w:rsidRPr="00CC43EA">
        <w:rPr>
          <w:rFonts w:cs="Arial"/>
          <w:szCs w:val="22"/>
        </w:rPr>
        <w:t>Officers from the Coun</w:t>
      </w:r>
      <w:r w:rsidR="00C24E98">
        <w:rPr>
          <w:rFonts w:cs="Arial"/>
          <w:szCs w:val="22"/>
        </w:rPr>
        <w:t>cil's Environmental Health and Community Safety Team</w:t>
      </w:r>
      <w:r w:rsidR="0095096C" w:rsidRPr="00CC43EA">
        <w:rPr>
          <w:rFonts w:cs="Arial"/>
          <w:szCs w:val="22"/>
        </w:rPr>
        <w:t xml:space="preserve"> will be responsible for issuing any</w:t>
      </w:r>
      <w:r>
        <w:rPr>
          <w:rFonts w:cs="Arial"/>
          <w:szCs w:val="22"/>
        </w:rPr>
        <w:t xml:space="preserve"> </w:t>
      </w:r>
      <w:r w:rsidR="0095096C" w:rsidRPr="00CC43EA">
        <w:rPr>
          <w:rFonts w:cs="Arial"/>
          <w:szCs w:val="22"/>
        </w:rPr>
        <w:t>agreed Commu</w:t>
      </w:r>
      <w:r w:rsidR="00C24E98">
        <w:rPr>
          <w:rFonts w:cs="Arial"/>
          <w:szCs w:val="22"/>
        </w:rPr>
        <w:t>nity Protection Notices</w:t>
      </w:r>
      <w:r w:rsidR="0095096C" w:rsidRPr="00CC43EA">
        <w:rPr>
          <w:rFonts w:cs="Arial"/>
          <w:szCs w:val="22"/>
        </w:rPr>
        <w:t>. As</w:t>
      </w:r>
      <w:r>
        <w:rPr>
          <w:rFonts w:cs="Arial"/>
          <w:szCs w:val="22"/>
        </w:rPr>
        <w:t xml:space="preserve"> </w:t>
      </w:r>
      <w:r w:rsidR="0095096C" w:rsidRPr="00CC43EA">
        <w:rPr>
          <w:rFonts w:cs="Arial"/>
          <w:szCs w:val="22"/>
        </w:rPr>
        <w:t>these notices would replace other enforcement activity at the same premises it is not</w:t>
      </w:r>
      <w:r>
        <w:rPr>
          <w:rFonts w:cs="Arial"/>
          <w:szCs w:val="22"/>
        </w:rPr>
        <w:t xml:space="preserve"> </w:t>
      </w:r>
      <w:r w:rsidR="0095096C" w:rsidRPr="00CC43EA">
        <w:rPr>
          <w:rFonts w:cs="Arial"/>
          <w:szCs w:val="22"/>
        </w:rPr>
        <w:t>envisaged that there will be any significant resource implications in using this</w:t>
      </w:r>
      <w:r>
        <w:rPr>
          <w:rFonts w:cs="Arial"/>
          <w:szCs w:val="22"/>
        </w:rPr>
        <w:t xml:space="preserve"> </w:t>
      </w:r>
      <w:r w:rsidR="0095096C" w:rsidRPr="00CC43EA">
        <w:rPr>
          <w:rFonts w:cs="Arial"/>
          <w:szCs w:val="22"/>
        </w:rPr>
        <w:t>enforcement tool, other than any marginal costs in issuing the notices.</w:t>
      </w:r>
    </w:p>
    <w:p w:rsidR="00F46B79" w:rsidRPr="00CC43EA" w:rsidRDefault="00F46B79" w:rsidP="00F46B79">
      <w:pPr>
        <w:autoSpaceDE w:val="0"/>
        <w:autoSpaceDN w:val="0"/>
        <w:adjustRightInd w:val="0"/>
        <w:ind w:left="720" w:hanging="720"/>
        <w:rPr>
          <w:rFonts w:cs="Arial"/>
          <w:szCs w:val="22"/>
        </w:rPr>
      </w:pPr>
    </w:p>
    <w:p w:rsidR="001A24F9" w:rsidRPr="00F46B79" w:rsidRDefault="00C24E98" w:rsidP="00C24E98">
      <w:pPr>
        <w:autoSpaceDE w:val="0"/>
        <w:autoSpaceDN w:val="0"/>
        <w:adjustRightInd w:val="0"/>
        <w:ind w:left="720" w:hanging="720"/>
        <w:rPr>
          <w:rFonts w:cs="Arial"/>
          <w:szCs w:val="22"/>
        </w:rPr>
      </w:pPr>
      <w:r>
        <w:rPr>
          <w:rFonts w:cs="Arial"/>
          <w:szCs w:val="22"/>
        </w:rPr>
        <w:t>19.</w:t>
      </w:r>
      <w:r>
        <w:rPr>
          <w:rFonts w:cs="Arial"/>
          <w:szCs w:val="22"/>
        </w:rPr>
        <w:tab/>
      </w:r>
      <w:r w:rsidR="0095096C" w:rsidRPr="00CC43EA">
        <w:rPr>
          <w:rFonts w:cs="Arial"/>
          <w:szCs w:val="22"/>
        </w:rPr>
        <w:t xml:space="preserve">Income from FPNs and/or prosecutions in the case of </w:t>
      </w:r>
      <w:r w:rsidR="005E3A96" w:rsidRPr="00CC43EA">
        <w:rPr>
          <w:rFonts w:cs="Arial"/>
          <w:szCs w:val="22"/>
        </w:rPr>
        <w:t>non-compliance</w:t>
      </w:r>
      <w:r w:rsidR="0095096C" w:rsidRPr="00CC43EA">
        <w:rPr>
          <w:rFonts w:cs="Arial"/>
          <w:szCs w:val="22"/>
        </w:rPr>
        <w:t xml:space="preserve"> will help offset</w:t>
      </w:r>
      <w:r w:rsidR="00F46B79">
        <w:rPr>
          <w:rFonts w:cs="Arial"/>
          <w:szCs w:val="22"/>
        </w:rPr>
        <w:t xml:space="preserve"> </w:t>
      </w:r>
      <w:r w:rsidR="0095096C" w:rsidRPr="00CC43EA">
        <w:rPr>
          <w:rFonts w:cs="Arial"/>
          <w:szCs w:val="22"/>
        </w:rPr>
        <w:t>service costs and (in the case of FPNs) count towards existing fees &amp; charges budgets</w:t>
      </w:r>
      <w:r w:rsidR="00F46B79">
        <w:rPr>
          <w:rFonts w:cs="Arial"/>
          <w:szCs w:val="22"/>
        </w:rPr>
        <w:t xml:space="preserve"> </w:t>
      </w:r>
      <w:r w:rsidR="0095096C" w:rsidRPr="00CC43EA">
        <w:rPr>
          <w:rFonts w:cs="Arial"/>
          <w:szCs w:val="22"/>
        </w:rPr>
        <w:t>within the service.</w:t>
      </w:r>
    </w:p>
    <w:p w:rsidR="00F46B79" w:rsidRDefault="00F46B79" w:rsidP="002C71DE">
      <w:pPr>
        <w:rPr>
          <w:rFonts w:cs="Arial"/>
          <w:b/>
          <w:caps/>
          <w:szCs w:val="22"/>
        </w:rPr>
      </w:pPr>
    </w:p>
    <w:p w:rsidR="007A0801" w:rsidRDefault="007A0801" w:rsidP="002C71DE">
      <w:pPr>
        <w:rPr>
          <w:rFonts w:cs="Arial"/>
          <w:b/>
          <w:caps/>
          <w:szCs w:val="22"/>
        </w:rPr>
      </w:pPr>
      <w:r w:rsidRPr="00CC43EA">
        <w:rPr>
          <w:rFonts w:cs="Arial"/>
          <w:b/>
          <w:caps/>
          <w:szCs w:val="22"/>
        </w:rPr>
        <w:t>LEGAL IMPLICATIONS</w:t>
      </w:r>
    </w:p>
    <w:p w:rsidR="00C24E98" w:rsidRPr="00CC43EA" w:rsidRDefault="00C24E98" w:rsidP="002C71DE">
      <w:pPr>
        <w:rPr>
          <w:rFonts w:cs="Arial"/>
          <w:b/>
          <w:caps/>
          <w:szCs w:val="22"/>
        </w:rPr>
      </w:pPr>
    </w:p>
    <w:p w:rsidR="00C24E98" w:rsidRDefault="00C24E98" w:rsidP="00C24E98">
      <w:pPr>
        <w:autoSpaceDE w:val="0"/>
        <w:autoSpaceDN w:val="0"/>
        <w:adjustRightInd w:val="0"/>
        <w:ind w:left="720" w:hanging="720"/>
        <w:rPr>
          <w:rFonts w:cs="Arial"/>
          <w:szCs w:val="22"/>
        </w:rPr>
      </w:pPr>
      <w:r>
        <w:rPr>
          <w:rFonts w:cs="Arial"/>
          <w:szCs w:val="22"/>
        </w:rPr>
        <w:t>20.</w:t>
      </w:r>
      <w:r>
        <w:rPr>
          <w:rFonts w:cs="Arial"/>
          <w:szCs w:val="22"/>
        </w:rPr>
        <w:tab/>
      </w:r>
      <w:r w:rsidRPr="00CC43EA">
        <w:rPr>
          <w:rFonts w:cs="Arial"/>
          <w:szCs w:val="22"/>
        </w:rPr>
        <w:t>Part 4 of the Anti-Social Behaviour, Crime and Policing Act 2014 provides the Council</w:t>
      </w:r>
      <w:r>
        <w:rPr>
          <w:rFonts w:cs="Arial"/>
          <w:szCs w:val="22"/>
        </w:rPr>
        <w:t xml:space="preserve"> </w:t>
      </w:r>
      <w:r w:rsidRPr="00CC43EA">
        <w:rPr>
          <w:rFonts w:cs="Arial"/>
          <w:szCs w:val="22"/>
        </w:rPr>
        <w:t>with effective powers to tackle anti-social behaviour that provides better protection for</w:t>
      </w:r>
      <w:r>
        <w:rPr>
          <w:rFonts w:cs="Arial"/>
          <w:szCs w:val="22"/>
        </w:rPr>
        <w:t xml:space="preserve"> </w:t>
      </w:r>
      <w:r w:rsidRPr="00CC43EA">
        <w:rPr>
          <w:rFonts w:cs="Arial"/>
          <w:szCs w:val="22"/>
        </w:rPr>
        <w:t>communities. If satisfied on reasonable grounds that the conduct of an individual or body</w:t>
      </w:r>
      <w:r>
        <w:rPr>
          <w:rFonts w:cs="Arial"/>
          <w:szCs w:val="22"/>
        </w:rPr>
        <w:t xml:space="preserve"> </w:t>
      </w:r>
      <w:r w:rsidRPr="00CC43EA">
        <w:rPr>
          <w:rFonts w:cs="Arial"/>
          <w:szCs w:val="22"/>
        </w:rPr>
        <w:t>is having a detrimental effect, of a persistent or continuing nature, on the quality of life of</w:t>
      </w:r>
      <w:r>
        <w:rPr>
          <w:rFonts w:cs="Arial"/>
          <w:szCs w:val="22"/>
        </w:rPr>
        <w:t xml:space="preserve"> </w:t>
      </w:r>
      <w:r w:rsidRPr="00CC43EA">
        <w:rPr>
          <w:rFonts w:cs="Arial"/>
          <w:szCs w:val="22"/>
        </w:rPr>
        <w:t>those in the locality, and the conduct is unreasonable; the Council may take such steps</w:t>
      </w:r>
      <w:r>
        <w:rPr>
          <w:rFonts w:cs="Arial"/>
          <w:szCs w:val="22"/>
        </w:rPr>
        <w:t xml:space="preserve"> </w:t>
      </w:r>
      <w:r w:rsidRPr="00CC43EA">
        <w:rPr>
          <w:rFonts w:cs="Arial"/>
          <w:szCs w:val="22"/>
        </w:rPr>
        <w:t>as are appropriate to remedy such conduct, including where necessary the issuing of a</w:t>
      </w:r>
      <w:r>
        <w:rPr>
          <w:rFonts w:cs="Arial"/>
          <w:szCs w:val="22"/>
        </w:rPr>
        <w:t xml:space="preserve"> </w:t>
      </w:r>
      <w:r w:rsidRPr="00CC43EA">
        <w:rPr>
          <w:rFonts w:cs="Arial"/>
          <w:szCs w:val="22"/>
        </w:rPr>
        <w:t xml:space="preserve">notice on </w:t>
      </w:r>
      <w:r w:rsidRPr="00CC43EA">
        <w:rPr>
          <w:rFonts w:cs="Arial"/>
          <w:szCs w:val="22"/>
        </w:rPr>
        <w:lastRenderedPageBreak/>
        <w:t>all parties with a proprietary right and/or interest in the subject land requiring</w:t>
      </w:r>
      <w:r>
        <w:rPr>
          <w:rFonts w:cs="Arial"/>
          <w:szCs w:val="22"/>
        </w:rPr>
        <w:t xml:space="preserve"> </w:t>
      </w:r>
      <w:r w:rsidRPr="00CC43EA">
        <w:rPr>
          <w:rFonts w:cs="Arial"/>
          <w:szCs w:val="22"/>
        </w:rPr>
        <w:t>specific actions to be undertaken to remedy the detrimental effect/unreasonable conduct.</w:t>
      </w:r>
    </w:p>
    <w:p w:rsidR="00C24E98" w:rsidRPr="00CC43EA" w:rsidRDefault="00C24E98" w:rsidP="00C24E98">
      <w:pPr>
        <w:autoSpaceDE w:val="0"/>
        <w:autoSpaceDN w:val="0"/>
        <w:adjustRightInd w:val="0"/>
        <w:ind w:left="720" w:hanging="720"/>
        <w:rPr>
          <w:rFonts w:cs="Arial"/>
          <w:szCs w:val="22"/>
        </w:rPr>
      </w:pPr>
    </w:p>
    <w:p w:rsidR="00C24E98" w:rsidRPr="00CC43EA" w:rsidRDefault="00C24E98" w:rsidP="00C24E98">
      <w:pPr>
        <w:autoSpaceDE w:val="0"/>
        <w:autoSpaceDN w:val="0"/>
        <w:adjustRightInd w:val="0"/>
        <w:rPr>
          <w:rFonts w:cs="Arial"/>
          <w:szCs w:val="22"/>
        </w:rPr>
      </w:pPr>
      <w:r>
        <w:rPr>
          <w:rFonts w:cs="Arial"/>
          <w:szCs w:val="22"/>
        </w:rPr>
        <w:t>21.</w:t>
      </w:r>
      <w:r>
        <w:rPr>
          <w:rFonts w:cs="Arial"/>
          <w:szCs w:val="22"/>
        </w:rPr>
        <w:tab/>
      </w:r>
      <w:r w:rsidRPr="00CC43EA">
        <w:rPr>
          <w:rFonts w:cs="Arial"/>
          <w:szCs w:val="22"/>
        </w:rPr>
        <w:t>The legal implications and statutory powers are set out within the body of the report.</w:t>
      </w:r>
    </w:p>
    <w:p w:rsidR="00C24E98" w:rsidRDefault="00C24E98" w:rsidP="002C71DE">
      <w:pPr>
        <w:rPr>
          <w:rFonts w:cs="Arial"/>
          <w:szCs w:val="22"/>
        </w:rPr>
      </w:pPr>
    </w:p>
    <w:p w:rsidR="002C71DE" w:rsidRPr="00CC43EA" w:rsidRDefault="002C71DE" w:rsidP="002C71DE">
      <w:pPr>
        <w:rPr>
          <w:rFonts w:cs="Arial"/>
          <w:b/>
          <w:caps/>
          <w:szCs w:val="22"/>
        </w:rPr>
      </w:pPr>
      <w:r w:rsidRPr="00CC43EA">
        <w:rPr>
          <w:rFonts w:cs="Arial"/>
          <w:b/>
          <w:caps/>
          <w:szCs w:val="22"/>
        </w:rPr>
        <w:t>AIR QUALITY IMPLICATIONS</w:t>
      </w:r>
    </w:p>
    <w:p w:rsidR="007A0801" w:rsidRDefault="007A0801" w:rsidP="007A0801">
      <w:pPr>
        <w:rPr>
          <w:rFonts w:eastAsia="Calibri" w:cs="Arial"/>
          <w:color w:val="2E74B5" w:themeColor="accent1" w:themeShade="BF"/>
          <w:szCs w:val="22"/>
          <w:lang w:eastAsia="en-US"/>
        </w:rPr>
      </w:pPr>
    </w:p>
    <w:p w:rsidR="00C24E98" w:rsidRDefault="00C24E98" w:rsidP="00C24E98">
      <w:pPr>
        <w:ind w:left="720" w:hanging="720"/>
        <w:rPr>
          <w:rFonts w:eastAsia="Calibri" w:cs="Arial"/>
          <w:szCs w:val="22"/>
          <w:lang w:eastAsia="en-US"/>
        </w:rPr>
      </w:pPr>
      <w:r>
        <w:rPr>
          <w:rFonts w:eastAsia="Calibri" w:cs="Arial"/>
          <w:szCs w:val="22"/>
          <w:lang w:eastAsia="en-US"/>
        </w:rPr>
        <w:t>22.</w:t>
      </w:r>
      <w:r>
        <w:rPr>
          <w:rFonts w:eastAsia="Calibri" w:cs="Arial"/>
          <w:szCs w:val="22"/>
          <w:lang w:eastAsia="en-US"/>
        </w:rPr>
        <w:tab/>
      </w:r>
      <w:r w:rsidR="009F2F28">
        <w:rPr>
          <w:rFonts w:eastAsia="Calibri" w:cs="Arial"/>
          <w:szCs w:val="22"/>
          <w:lang w:eastAsia="en-US"/>
        </w:rPr>
        <w:t>The Community Protection N</w:t>
      </w:r>
      <w:r w:rsidRPr="00C24E98">
        <w:rPr>
          <w:rFonts w:eastAsia="Calibri" w:cs="Arial"/>
          <w:szCs w:val="22"/>
          <w:lang w:eastAsia="en-US"/>
        </w:rPr>
        <w:t>otice is intended to deal with unreasonable, ongoing problems or nuisances which negatively affect the community’s quality of life by ta</w:t>
      </w:r>
      <w:r>
        <w:rPr>
          <w:rFonts w:eastAsia="Calibri" w:cs="Arial"/>
          <w:szCs w:val="22"/>
          <w:lang w:eastAsia="en-US"/>
        </w:rPr>
        <w:t xml:space="preserve">rgeting the person responsible. </w:t>
      </w:r>
      <w:r w:rsidRPr="00C24E98">
        <w:rPr>
          <w:rFonts w:eastAsia="Calibri" w:cs="Arial"/>
          <w:szCs w:val="22"/>
          <w:lang w:eastAsia="en-US"/>
        </w:rPr>
        <w:t>The notice can direct any individual over the age of 16, business or organisation responsible to stop causing the problem and it could also require the person responsible to take reasonable steps to ensure that it does not occur again</w:t>
      </w:r>
      <w:r>
        <w:rPr>
          <w:rFonts w:eastAsia="Calibri" w:cs="Arial"/>
          <w:szCs w:val="22"/>
          <w:lang w:eastAsia="en-US"/>
        </w:rPr>
        <w:t>. Therefore there is a potential tha</w:t>
      </w:r>
      <w:r w:rsidR="005E3A96">
        <w:rPr>
          <w:rFonts w:eastAsia="Calibri" w:cs="Arial"/>
          <w:szCs w:val="22"/>
          <w:lang w:eastAsia="en-US"/>
        </w:rPr>
        <w:t>t this unreasonable behaviour can</w:t>
      </w:r>
      <w:r w:rsidR="009F2F28">
        <w:rPr>
          <w:rFonts w:eastAsia="Calibri" w:cs="Arial"/>
          <w:szCs w:val="22"/>
          <w:lang w:eastAsia="en-US"/>
        </w:rPr>
        <w:t xml:space="preserve"> also have a detrimental </w:t>
      </w:r>
      <w:r>
        <w:rPr>
          <w:rFonts w:eastAsia="Calibri" w:cs="Arial"/>
          <w:szCs w:val="22"/>
          <w:lang w:eastAsia="en-US"/>
        </w:rPr>
        <w:t xml:space="preserve">impact on air quality and </w:t>
      </w:r>
      <w:r w:rsidR="009F2F28">
        <w:rPr>
          <w:rFonts w:eastAsia="Calibri" w:cs="Arial"/>
          <w:szCs w:val="22"/>
          <w:lang w:eastAsia="en-US"/>
        </w:rPr>
        <w:t>the authority could enforce</w:t>
      </w:r>
      <w:r w:rsidR="005E3A96">
        <w:rPr>
          <w:rFonts w:eastAsia="Calibri" w:cs="Arial"/>
          <w:szCs w:val="22"/>
          <w:lang w:eastAsia="en-US"/>
        </w:rPr>
        <w:t xml:space="preserve"> them to take reasonable steps for example CPW</w:t>
      </w:r>
      <w:r w:rsidR="009F2F28">
        <w:rPr>
          <w:rFonts w:eastAsia="Calibri" w:cs="Arial"/>
          <w:szCs w:val="22"/>
          <w:lang w:eastAsia="en-US"/>
        </w:rPr>
        <w:t>’s</w:t>
      </w:r>
      <w:r w:rsidR="005E3A96">
        <w:rPr>
          <w:rFonts w:eastAsia="Calibri" w:cs="Arial"/>
          <w:szCs w:val="22"/>
          <w:lang w:eastAsia="en-US"/>
        </w:rPr>
        <w:t xml:space="preserve"> have been used</w:t>
      </w:r>
      <w:r w:rsidR="009F2F28">
        <w:rPr>
          <w:rFonts w:eastAsia="Calibri" w:cs="Arial"/>
          <w:szCs w:val="22"/>
          <w:lang w:eastAsia="en-US"/>
        </w:rPr>
        <w:t xml:space="preserve"> by other authorities</w:t>
      </w:r>
      <w:r w:rsidR="005E3A96">
        <w:rPr>
          <w:rFonts w:eastAsia="Calibri" w:cs="Arial"/>
          <w:szCs w:val="22"/>
          <w:lang w:eastAsia="en-US"/>
        </w:rPr>
        <w:t xml:space="preserve"> to restrict bonfires.</w:t>
      </w:r>
    </w:p>
    <w:p w:rsidR="005E3A96" w:rsidRPr="00C24E98" w:rsidRDefault="005E3A96" w:rsidP="00C24E98">
      <w:pPr>
        <w:ind w:left="720" w:hanging="720"/>
        <w:rPr>
          <w:rFonts w:cs="Arial"/>
          <w:caps/>
          <w:szCs w:val="22"/>
        </w:rPr>
      </w:pPr>
    </w:p>
    <w:p w:rsidR="001A24F9" w:rsidRDefault="001A24F9" w:rsidP="002C71DE">
      <w:pPr>
        <w:rPr>
          <w:rFonts w:cs="Arial"/>
          <w:b/>
          <w:caps/>
        </w:rPr>
      </w:pPr>
      <w:r w:rsidRPr="00491976">
        <w:rPr>
          <w:rFonts w:cs="Arial"/>
          <w:b/>
          <w:caps/>
        </w:rPr>
        <w:t>Human Resources and Organisational Development implications</w:t>
      </w:r>
    </w:p>
    <w:p w:rsidR="001A24F9" w:rsidRDefault="001A24F9" w:rsidP="005E3A96">
      <w:pPr>
        <w:rPr>
          <w:rFonts w:cs="Arial"/>
          <w:b/>
          <w:caps/>
        </w:rPr>
      </w:pPr>
    </w:p>
    <w:p w:rsidR="005E3A96" w:rsidRPr="005E3A96" w:rsidRDefault="005E3A96" w:rsidP="005E3A96">
      <w:pPr>
        <w:rPr>
          <w:rFonts w:cs="Arial"/>
          <w:caps/>
        </w:rPr>
      </w:pPr>
      <w:r w:rsidRPr="005E3A96">
        <w:rPr>
          <w:rFonts w:cs="Arial"/>
          <w:caps/>
        </w:rPr>
        <w:t xml:space="preserve">23. </w:t>
      </w:r>
      <w:r w:rsidRPr="005E3A96">
        <w:rPr>
          <w:rFonts w:cs="Arial"/>
          <w:caps/>
        </w:rPr>
        <w:tab/>
      </w:r>
      <w:r>
        <w:rPr>
          <w:rFonts w:cs="Arial"/>
        </w:rPr>
        <w:t>None and training has been undertaken with existing staff.</w:t>
      </w:r>
    </w:p>
    <w:p w:rsidR="001A24F9" w:rsidRDefault="001A24F9" w:rsidP="001A24F9">
      <w:pPr>
        <w:rPr>
          <w:rFonts w:cs="Arial"/>
          <w:b/>
        </w:rPr>
      </w:pPr>
    </w:p>
    <w:p w:rsidR="001A24F9" w:rsidRDefault="001A24F9" w:rsidP="002C71DE">
      <w:pPr>
        <w:rPr>
          <w:rFonts w:cs="Arial"/>
          <w:b/>
          <w:caps/>
        </w:rPr>
      </w:pPr>
      <w:r w:rsidRPr="00491976">
        <w:rPr>
          <w:rFonts w:cs="Arial"/>
          <w:b/>
          <w:caps/>
        </w:rPr>
        <w:t>ICT/technology implications</w:t>
      </w:r>
    </w:p>
    <w:p w:rsidR="001A24F9" w:rsidRDefault="001A24F9" w:rsidP="005E3A96">
      <w:pPr>
        <w:rPr>
          <w:rFonts w:cs="Arial"/>
          <w:b/>
          <w:caps/>
        </w:rPr>
      </w:pPr>
    </w:p>
    <w:p w:rsidR="005E3A96" w:rsidRPr="005E3A96" w:rsidRDefault="005E3A96" w:rsidP="005E3A96">
      <w:pPr>
        <w:rPr>
          <w:rFonts w:cs="Arial"/>
          <w:caps/>
        </w:rPr>
      </w:pPr>
      <w:r w:rsidRPr="005E3A96">
        <w:rPr>
          <w:rFonts w:cs="Arial"/>
          <w:caps/>
        </w:rPr>
        <w:t xml:space="preserve">24. </w:t>
      </w:r>
      <w:r w:rsidRPr="005E3A96">
        <w:rPr>
          <w:rFonts w:cs="Arial"/>
          <w:caps/>
        </w:rPr>
        <w:tab/>
      </w:r>
      <w:r>
        <w:rPr>
          <w:rFonts w:cs="Arial"/>
        </w:rPr>
        <w:t>N</w:t>
      </w:r>
      <w:r w:rsidRPr="005E3A96">
        <w:rPr>
          <w:rFonts w:cs="Arial"/>
        </w:rPr>
        <w:t>one</w:t>
      </w:r>
    </w:p>
    <w:p w:rsidR="001A24F9" w:rsidRDefault="001A24F9" w:rsidP="001A24F9">
      <w:pPr>
        <w:rPr>
          <w:rFonts w:cs="Arial"/>
          <w:b/>
        </w:rPr>
      </w:pPr>
    </w:p>
    <w:p w:rsidR="001A24F9" w:rsidRDefault="001A24F9" w:rsidP="002C71DE">
      <w:pPr>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9063C4" w:rsidRDefault="005E3A96" w:rsidP="002C71DE">
      <w:pPr>
        <w:rPr>
          <w:rFonts w:cs="Arial"/>
        </w:rPr>
      </w:pPr>
      <w:r w:rsidRPr="005E3A96">
        <w:rPr>
          <w:rFonts w:cs="Arial"/>
        </w:rPr>
        <w:t>25.</w:t>
      </w:r>
      <w:r w:rsidRPr="005E3A96">
        <w:rPr>
          <w:rFonts w:cs="Arial"/>
        </w:rPr>
        <w:tab/>
        <w:t>None</w:t>
      </w:r>
    </w:p>
    <w:p w:rsidR="005E3A96" w:rsidRPr="005E3A96" w:rsidRDefault="005E3A96" w:rsidP="002C71DE">
      <w:pPr>
        <w:rPr>
          <w:rFonts w:cs="Arial"/>
        </w:rPr>
      </w:pPr>
    </w:p>
    <w:p w:rsidR="008770BE" w:rsidRDefault="001A24F9" w:rsidP="00CC70BC">
      <w:pPr>
        <w:rPr>
          <w:rFonts w:cs="Arial"/>
          <w:b/>
        </w:rPr>
      </w:pPr>
      <w:r>
        <w:rPr>
          <w:rFonts w:cs="Arial"/>
          <w:b/>
        </w:rPr>
        <w:t>RISK MANAGEMENT</w:t>
      </w:r>
    </w:p>
    <w:p w:rsidR="00CC70BC" w:rsidRDefault="00CC70BC" w:rsidP="00CC70BC">
      <w:pPr>
        <w:rPr>
          <w:rFonts w:cs="Arial"/>
          <w:b/>
        </w:rPr>
      </w:pPr>
    </w:p>
    <w:p w:rsidR="002C71DE" w:rsidRDefault="00CC70BC" w:rsidP="00CC70BC">
      <w:pPr>
        <w:ind w:left="720" w:hanging="720"/>
        <w:rPr>
          <w:rFonts w:cs="Arial"/>
        </w:rPr>
      </w:pPr>
      <w:r>
        <w:rPr>
          <w:rFonts w:cs="Arial"/>
        </w:rPr>
        <w:t>26.</w:t>
      </w:r>
      <w:r>
        <w:rPr>
          <w:rFonts w:cs="Arial"/>
        </w:rPr>
        <w:tab/>
      </w:r>
      <w:r w:rsidRPr="00CC70BC">
        <w:rPr>
          <w:rFonts w:cs="Arial"/>
        </w:rPr>
        <w:t>The u</w:t>
      </w:r>
      <w:r>
        <w:rPr>
          <w:rFonts w:cs="Arial"/>
        </w:rPr>
        <w:t>se of the Community Protection Notices, in any capacity, are</w:t>
      </w:r>
      <w:r w:rsidRPr="00CC70BC">
        <w:rPr>
          <w:rFonts w:cs="Arial"/>
        </w:rPr>
        <w:t xml:space="preserve"> subject to rules governing </w:t>
      </w:r>
      <w:r>
        <w:rPr>
          <w:rFonts w:cs="Arial"/>
        </w:rPr>
        <w:t>applicability and consultation. Health and Safety Risk Assessments have been undertaken to control the risks to our staff investigating anti-social behaviour complaints.</w:t>
      </w:r>
    </w:p>
    <w:p w:rsidR="00CC70BC" w:rsidRPr="00CC70BC" w:rsidRDefault="00CC70BC" w:rsidP="00CC70BC">
      <w:pPr>
        <w:rPr>
          <w:rFonts w:cs="Arial"/>
        </w:rPr>
      </w:pPr>
    </w:p>
    <w:p w:rsidR="001A24F9" w:rsidRDefault="001A24F9" w:rsidP="002C71DE">
      <w:pPr>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5E3A96" w:rsidRPr="005E3A96" w:rsidRDefault="00CC70BC" w:rsidP="00CC70BC">
      <w:pPr>
        <w:ind w:left="720" w:hanging="720"/>
        <w:rPr>
          <w:rFonts w:cs="Arial"/>
        </w:rPr>
      </w:pPr>
      <w:r>
        <w:rPr>
          <w:rFonts w:cs="Arial"/>
        </w:rPr>
        <w:t>27.</w:t>
      </w:r>
      <w:r>
        <w:rPr>
          <w:rFonts w:cs="Arial"/>
        </w:rPr>
        <w:tab/>
      </w:r>
      <w:r w:rsidR="005E3A96" w:rsidRPr="005E3A96">
        <w:rPr>
          <w:rFonts w:cs="Arial"/>
        </w:rPr>
        <w:t>This report has minimal equalities implications in that al</w:t>
      </w:r>
      <w:r>
        <w:rPr>
          <w:rFonts w:cs="Arial"/>
        </w:rPr>
        <w:t xml:space="preserve">l formal enforcement action and </w:t>
      </w:r>
      <w:r w:rsidR="005E3A96" w:rsidRPr="005E3A96">
        <w:rPr>
          <w:rFonts w:cs="Arial"/>
        </w:rPr>
        <w:t>decisions will be based on the appl</w:t>
      </w:r>
      <w:r>
        <w:rPr>
          <w:rFonts w:cs="Arial"/>
        </w:rPr>
        <w:t xml:space="preserve">ication of pre-existing enforcement </w:t>
      </w:r>
      <w:r w:rsidR="005E3A96" w:rsidRPr="005E3A96">
        <w:rPr>
          <w:rFonts w:cs="Arial"/>
        </w:rPr>
        <w:t>approved policy which</w:t>
      </w:r>
      <w:r>
        <w:rPr>
          <w:rFonts w:cs="Arial"/>
        </w:rPr>
        <w:t xml:space="preserve"> </w:t>
      </w:r>
      <w:r w:rsidR="005E3A96" w:rsidRPr="005E3A96">
        <w:rPr>
          <w:rFonts w:cs="Arial"/>
        </w:rPr>
        <w:t>bases decisions on risk, evidence and public interest.</w:t>
      </w:r>
    </w:p>
    <w:p w:rsidR="00CC70BC" w:rsidRDefault="00CC70BC" w:rsidP="005E3A96">
      <w:pPr>
        <w:rPr>
          <w:rFonts w:cs="Arial"/>
        </w:rPr>
      </w:pPr>
    </w:p>
    <w:p w:rsidR="008770BE" w:rsidRDefault="00CC70BC" w:rsidP="00CC70BC">
      <w:pPr>
        <w:ind w:left="720" w:hanging="720"/>
        <w:rPr>
          <w:rFonts w:cs="Arial"/>
        </w:rPr>
      </w:pPr>
      <w:r>
        <w:rPr>
          <w:rFonts w:cs="Arial"/>
        </w:rPr>
        <w:lastRenderedPageBreak/>
        <w:t>28.</w:t>
      </w:r>
      <w:r>
        <w:rPr>
          <w:rFonts w:cs="Arial"/>
        </w:rPr>
        <w:tab/>
      </w:r>
      <w:r w:rsidR="005E3A96" w:rsidRPr="005E3A96">
        <w:rPr>
          <w:rFonts w:cs="Arial"/>
        </w:rPr>
        <w:t>The contents of the report detail measures aimed at preventing and/or mitigating the</w:t>
      </w:r>
      <w:r>
        <w:rPr>
          <w:rFonts w:cs="Arial"/>
        </w:rPr>
        <w:t xml:space="preserve"> </w:t>
      </w:r>
      <w:r w:rsidR="005E3A96" w:rsidRPr="005E3A96">
        <w:rPr>
          <w:rFonts w:cs="Arial"/>
        </w:rPr>
        <w:t>occurrence of environmental offences which will be of benefit to all groups of persons</w:t>
      </w:r>
      <w:r>
        <w:rPr>
          <w:rFonts w:cs="Arial"/>
        </w:rPr>
        <w:t xml:space="preserve"> within South Ribble</w:t>
      </w:r>
      <w:r w:rsidR="005E3A96" w:rsidRPr="005E3A96">
        <w:rPr>
          <w:rFonts w:cs="Arial"/>
        </w:rPr>
        <w:t>.</w:t>
      </w:r>
    </w:p>
    <w:p w:rsidR="00CC70BC" w:rsidRPr="005E3A96" w:rsidRDefault="00CC70BC" w:rsidP="005E3A96">
      <w:pPr>
        <w:rPr>
          <w:rFonts w:cs="Arial"/>
        </w:rPr>
      </w:pPr>
    </w:p>
    <w:p w:rsidR="002C71DE" w:rsidRDefault="001A24F9" w:rsidP="002C71DE">
      <w:pPr>
        <w:rPr>
          <w:rFonts w:cs="Arial"/>
          <w:b/>
        </w:rPr>
      </w:pPr>
      <w:r w:rsidRPr="002C71DE">
        <w:rPr>
          <w:rFonts w:cs="Arial"/>
          <w:b/>
        </w:rPr>
        <w:t xml:space="preserve">RELEVANT DIRECTORS RECOMMENDATIONS </w:t>
      </w:r>
    </w:p>
    <w:p w:rsidR="002C71DE" w:rsidRDefault="002C71DE" w:rsidP="002C71DE">
      <w:pPr>
        <w:rPr>
          <w:rFonts w:cs="Arial"/>
          <w:b/>
        </w:rPr>
      </w:pPr>
    </w:p>
    <w:p w:rsidR="005E3A96" w:rsidRDefault="00CC70BC" w:rsidP="00CC70BC">
      <w:pPr>
        <w:keepNext/>
        <w:ind w:left="720" w:hanging="720"/>
        <w:outlineLvl w:val="0"/>
        <w:rPr>
          <w:rFonts w:cs="Arial"/>
          <w:szCs w:val="22"/>
        </w:rPr>
      </w:pPr>
      <w:r>
        <w:rPr>
          <w:rFonts w:cs="Arial"/>
          <w:szCs w:val="22"/>
        </w:rPr>
        <w:t>29.</w:t>
      </w:r>
      <w:r>
        <w:rPr>
          <w:rFonts w:cs="Arial"/>
          <w:szCs w:val="22"/>
        </w:rPr>
        <w:tab/>
      </w:r>
      <w:r w:rsidR="005E3A96" w:rsidRPr="00651946">
        <w:rPr>
          <w:rFonts w:cs="Arial"/>
          <w:szCs w:val="22"/>
        </w:rPr>
        <w:t xml:space="preserve">That Cabinet </w:t>
      </w:r>
      <w:r w:rsidR="005E3A96">
        <w:rPr>
          <w:rFonts w:cs="Arial"/>
          <w:szCs w:val="22"/>
        </w:rPr>
        <w:t xml:space="preserve">delegates authority to the </w:t>
      </w:r>
      <w:r w:rsidR="005E3A96" w:rsidRPr="00651946">
        <w:rPr>
          <w:rFonts w:cs="Arial"/>
          <w:szCs w:val="22"/>
        </w:rPr>
        <w:t>Director of</w:t>
      </w:r>
      <w:r w:rsidR="005E3A96">
        <w:rPr>
          <w:rFonts w:cs="Arial"/>
          <w:szCs w:val="22"/>
        </w:rPr>
        <w:t xml:space="preserve"> Neighbourhoods and Development</w:t>
      </w:r>
      <w:r w:rsidR="005E3A96" w:rsidRPr="00651946">
        <w:rPr>
          <w:rFonts w:cs="Arial"/>
          <w:szCs w:val="22"/>
        </w:rPr>
        <w:t>, to use powers available under Part</w:t>
      </w:r>
      <w:r w:rsidR="005E3A96">
        <w:rPr>
          <w:rFonts w:cs="Arial"/>
          <w:szCs w:val="22"/>
        </w:rPr>
        <w:t xml:space="preserve"> 4 of the Anti-social Behaviour, </w:t>
      </w:r>
      <w:r w:rsidR="005E3A96" w:rsidRPr="00651946">
        <w:rPr>
          <w:rFonts w:cs="Arial"/>
          <w:szCs w:val="22"/>
        </w:rPr>
        <w:t>Crime and Policing Act 2014 in the form of Community Protection Notices to enforce</w:t>
      </w:r>
      <w:r w:rsidR="005E3A96">
        <w:rPr>
          <w:rFonts w:cs="Arial"/>
          <w:szCs w:val="22"/>
        </w:rPr>
        <w:t xml:space="preserve"> against anti-</w:t>
      </w:r>
      <w:r w:rsidR="005E3A96" w:rsidRPr="00651946">
        <w:rPr>
          <w:rFonts w:cs="Arial"/>
          <w:szCs w:val="22"/>
        </w:rPr>
        <w:t>social behaviour that is having a detrimental effect on the quality of life for</w:t>
      </w:r>
      <w:r w:rsidR="005E3A96">
        <w:rPr>
          <w:rFonts w:cs="Arial"/>
          <w:szCs w:val="22"/>
        </w:rPr>
        <w:t xml:space="preserve"> </w:t>
      </w:r>
      <w:r w:rsidR="005E3A96" w:rsidRPr="00651946">
        <w:rPr>
          <w:rFonts w:cs="Arial"/>
          <w:szCs w:val="22"/>
        </w:rPr>
        <w:t>those in a locality, and is unreasonable, and is of a persistent or continuing nature.</w:t>
      </w:r>
    </w:p>
    <w:p w:rsidR="005E3A96" w:rsidRDefault="005E3A96" w:rsidP="005E3A96">
      <w:pPr>
        <w:keepNext/>
        <w:outlineLvl w:val="0"/>
        <w:rPr>
          <w:rFonts w:cs="Arial"/>
          <w:szCs w:val="22"/>
        </w:rPr>
      </w:pPr>
    </w:p>
    <w:p w:rsidR="005E3A96" w:rsidRPr="007F52E4" w:rsidRDefault="00CC70BC" w:rsidP="00CC70BC">
      <w:pPr>
        <w:spacing w:after="160" w:line="259" w:lineRule="auto"/>
        <w:ind w:left="720" w:hanging="720"/>
        <w:contextualSpacing/>
        <w:rPr>
          <w:rFonts w:eastAsia="Calibri" w:cs="Arial"/>
          <w:szCs w:val="22"/>
          <w:lang w:eastAsia="en-US"/>
        </w:rPr>
      </w:pPr>
      <w:r>
        <w:rPr>
          <w:rFonts w:eastAsia="Calibri" w:cs="Arial"/>
          <w:szCs w:val="22"/>
          <w:lang w:eastAsia="en-US"/>
        </w:rPr>
        <w:t>30.</w:t>
      </w:r>
      <w:r>
        <w:rPr>
          <w:rFonts w:eastAsia="Calibri" w:cs="Arial"/>
          <w:szCs w:val="22"/>
          <w:lang w:eastAsia="en-US"/>
        </w:rPr>
        <w:tab/>
      </w:r>
      <w:r w:rsidR="005E3A96" w:rsidRPr="007F52E4">
        <w:rPr>
          <w:rFonts w:eastAsia="Calibri" w:cs="Arial"/>
          <w:szCs w:val="22"/>
          <w:lang w:eastAsia="en-US"/>
        </w:rPr>
        <w:t>Cabinet to receive this report for information and express a</w:t>
      </w:r>
      <w:r w:rsidR="005E3A96">
        <w:rPr>
          <w:rFonts w:eastAsia="Calibri" w:cs="Arial"/>
          <w:szCs w:val="22"/>
          <w:lang w:eastAsia="en-US"/>
        </w:rPr>
        <w:t xml:space="preserve">ny feedback or suggestions that can </w:t>
      </w:r>
      <w:r w:rsidR="005E3A96" w:rsidRPr="007F52E4">
        <w:rPr>
          <w:rFonts w:eastAsia="Calibri" w:cs="Arial"/>
          <w:szCs w:val="22"/>
          <w:lang w:eastAsia="en-US"/>
        </w:rPr>
        <w:t>help shape/inform the ongoing process.</w:t>
      </w:r>
    </w:p>
    <w:p w:rsidR="002C71DE" w:rsidRPr="005E3A96" w:rsidRDefault="002C71DE" w:rsidP="005E3A96">
      <w:pPr>
        <w:rPr>
          <w:rFonts w:cs="Arial"/>
          <w:b/>
        </w:rPr>
      </w:pPr>
    </w:p>
    <w:p w:rsidR="000427E0" w:rsidRDefault="001A24F9" w:rsidP="002C71DE">
      <w:pPr>
        <w:rPr>
          <w:rFonts w:cs="Arial"/>
          <w:b/>
        </w:rPr>
      </w:pPr>
      <w:r w:rsidRPr="000A68B2">
        <w:rPr>
          <w:rFonts w:cs="Arial"/>
          <w:b/>
        </w:rPr>
        <w:t>C</w:t>
      </w:r>
      <w:r>
        <w:rPr>
          <w:rFonts w:cs="Arial"/>
          <w:b/>
        </w:rPr>
        <w:t>OMMENTS OF THE STATUTORY FINANCE OFFICE</w:t>
      </w:r>
      <w:r w:rsidR="000427E0">
        <w:rPr>
          <w:rFonts w:cs="Arial"/>
          <w:b/>
        </w:rPr>
        <w:t>R</w:t>
      </w:r>
    </w:p>
    <w:p w:rsidR="0099709C" w:rsidRDefault="0099709C" w:rsidP="002C71DE">
      <w:pPr>
        <w:rPr>
          <w:rFonts w:cs="Arial"/>
          <w:b/>
        </w:rPr>
      </w:pPr>
    </w:p>
    <w:p w:rsidR="0099709C" w:rsidRPr="0099709C" w:rsidRDefault="0099709C" w:rsidP="0099709C">
      <w:pPr>
        <w:ind w:left="709" w:hanging="709"/>
        <w:rPr>
          <w:rFonts w:cs="Arial"/>
        </w:rPr>
      </w:pPr>
      <w:r>
        <w:rPr>
          <w:rFonts w:cs="Arial"/>
        </w:rPr>
        <w:t xml:space="preserve">31.       </w:t>
      </w:r>
      <w:r w:rsidRPr="0099709C">
        <w:rPr>
          <w:rFonts w:cs="Arial"/>
        </w:rPr>
        <w:t xml:space="preserve">As set out in the financial implications above, </w:t>
      </w:r>
      <w:r>
        <w:rPr>
          <w:rFonts w:cs="Arial"/>
        </w:rPr>
        <w:t xml:space="preserve">any </w:t>
      </w:r>
      <w:r w:rsidRPr="0099709C">
        <w:rPr>
          <w:rFonts w:cs="Arial"/>
        </w:rPr>
        <w:t xml:space="preserve">impact on the Council’s budgets is expected to be minimal. </w:t>
      </w:r>
    </w:p>
    <w:p w:rsidR="00911FD5" w:rsidRPr="000427E0" w:rsidRDefault="00911FD5" w:rsidP="00911FD5">
      <w:pPr>
        <w:ind w:left="567"/>
        <w:rPr>
          <w:rFonts w:cs="Arial"/>
          <w:b/>
        </w:rPr>
      </w:pPr>
    </w:p>
    <w:p w:rsidR="001A24F9" w:rsidRDefault="001A24F9" w:rsidP="002C71DE">
      <w:pPr>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0427E0" w:rsidRPr="00DE4752" w:rsidRDefault="00AE5E50" w:rsidP="00DE4752">
      <w:pPr>
        <w:ind w:left="720" w:hanging="720"/>
        <w:rPr>
          <w:rFonts w:cs="Arial"/>
          <w:b/>
        </w:rPr>
      </w:pPr>
      <w:r w:rsidRPr="00DE4752">
        <w:rPr>
          <w:rFonts w:cs="Arial"/>
        </w:rPr>
        <w:t xml:space="preserve">32.  </w:t>
      </w:r>
      <w:r w:rsidR="00DE4752">
        <w:rPr>
          <w:rFonts w:cs="Arial"/>
        </w:rPr>
        <w:tab/>
      </w:r>
      <w:r w:rsidRPr="00DE4752">
        <w:rPr>
          <w:rFonts w:cs="Arial"/>
        </w:rPr>
        <w:t>Please see the Legal Implications above. The purpose of the report is in part for information. It is also to make clear that the power to use the statutory powers in question should be delegated in the Director of Neighbourhoods and Development. Anti-social behaviour can be a blight on many lives and it is important that we use all powers at our disposal to tackle it.</w:t>
      </w:r>
    </w:p>
    <w:p w:rsidR="000427E0" w:rsidRDefault="000427E0" w:rsidP="000427E0">
      <w:pPr>
        <w:ind w:left="567"/>
        <w:rPr>
          <w:rFonts w:cs="Arial"/>
          <w:b/>
        </w:rPr>
      </w:pPr>
    </w:p>
    <w:p w:rsidR="001A24F9" w:rsidRDefault="0095096C" w:rsidP="002C71DE">
      <w:pPr>
        <w:rPr>
          <w:rFonts w:cs="Arial"/>
          <w:b/>
        </w:rPr>
      </w:pPr>
      <w:r>
        <w:rPr>
          <w:rFonts w:cs="Arial"/>
          <w:b/>
        </w:rPr>
        <w:t xml:space="preserve">BACKGROUND DOCUMENTS </w:t>
      </w:r>
    </w:p>
    <w:p w:rsidR="00911FD5" w:rsidRPr="005E3A96" w:rsidRDefault="00911FD5" w:rsidP="00911FD5">
      <w:pPr>
        <w:ind w:left="567"/>
        <w:rPr>
          <w:rFonts w:cs="Arial"/>
        </w:rPr>
      </w:pPr>
    </w:p>
    <w:p w:rsidR="004C2F94" w:rsidRPr="005E3A96" w:rsidRDefault="0095096C" w:rsidP="0095096C">
      <w:pPr>
        <w:rPr>
          <w:rFonts w:cs="Arial"/>
          <w:color w:val="2E74B5" w:themeColor="accent1" w:themeShade="BF"/>
        </w:rPr>
      </w:pPr>
      <w:r w:rsidRPr="005E3A96">
        <w:rPr>
          <w:rFonts w:cs="Arial"/>
        </w:rPr>
        <w:t>There are no background papers to this report</w:t>
      </w:r>
    </w:p>
    <w:p w:rsidR="005E3A96" w:rsidRDefault="005E3A96" w:rsidP="004C2F94">
      <w:pPr>
        <w:rPr>
          <w:b/>
        </w:rPr>
      </w:pPr>
    </w:p>
    <w:p w:rsidR="0095096C" w:rsidRDefault="0095096C" w:rsidP="004C2F94">
      <w:pPr>
        <w:rPr>
          <w:b/>
        </w:rPr>
      </w:pPr>
      <w:r>
        <w:rPr>
          <w:b/>
        </w:rPr>
        <w:t xml:space="preserve">APPENDICES </w:t>
      </w:r>
    </w:p>
    <w:p w:rsidR="0095096C" w:rsidRDefault="0095096C" w:rsidP="004C2F94">
      <w:pPr>
        <w:rPr>
          <w:b/>
        </w:rPr>
      </w:pPr>
    </w:p>
    <w:p w:rsidR="004C2F94" w:rsidRPr="005E3A96" w:rsidRDefault="004C2F94" w:rsidP="004C2F94">
      <w:r w:rsidRPr="005E3A96">
        <w:t>There a</w:t>
      </w:r>
      <w:r w:rsidR="0095096C" w:rsidRPr="005E3A96">
        <w:t>re no appendices to this report</w:t>
      </w:r>
    </w:p>
    <w:p w:rsidR="004C2F94" w:rsidRPr="004C2F94" w:rsidRDefault="004C2F94" w:rsidP="004C2F94">
      <w:pPr>
        <w:rPr>
          <w:rFonts w:cs="Arial"/>
          <w:b/>
        </w:rPr>
      </w:pPr>
    </w:p>
    <w:p w:rsidR="0037228A" w:rsidRDefault="0037228A" w:rsidP="0037228A">
      <w:pPr>
        <w:tabs>
          <w:tab w:val="left" w:pos="2839"/>
        </w:tabs>
        <w:ind w:left="1146"/>
        <w:rPr>
          <w:b/>
        </w:rPr>
      </w:pPr>
    </w:p>
    <w:p w:rsidR="0037228A" w:rsidRPr="005E3A96" w:rsidRDefault="0037228A" w:rsidP="0037228A">
      <w:pPr>
        <w:tabs>
          <w:tab w:val="left" w:pos="2839"/>
        </w:tabs>
        <w:ind w:left="1146"/>
        <w:rPr>
          <w:b/>
        </w:rPr>
      </w:pPr>
    </w:p>
    <w:p w:rsidR="0095096C" w:rsidRPr="005E3A96" w:rsidRDefault="0095096C" w:rsidP="0037228A">
      <w:pPr>
        <w:tabs>
          <w:tab w:val="left" w:pos="2839"/>
        </w:tabs>
        <w:rPr>
          <w:rFonts w:cs="Arial"/>
        </w:rPr>
      </w:pPr>
      <w:r w:rsidRPr="005E3A96">
        <w:rPr>
          <w:rFonts w:cs="Arial"/>
        </w:rPr>
        <w:t>Jennifer Mullin</w:t>
      </w:r>
    </w:p>
    <w:p w:rsidR="0037228A" w:rsidRPr="005E3A96" w:rsidRDefault="0095096C" w:rsidP="0037228A">
      <w:pPr>
        <w:tabs>
          <w:tab w:val="left" w:pos="2839"/>
        </w:tabs>
        <w:rPr>
          <w:rFonts w:cs="Arial"/>
        </w:rPr>
      </w:pPr>
      <w:r w:rsidRPr="005E3A96">
        <w:rPr>
          <w:rFonts w:cs="Arial"/>
        </w:rPr>
        <w:t>Director of Neighbourhoods and Development</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Pr="0095096C" w:rsidRDefault="0095096C" w:rsidP="0095096C">
            <w:pPr>
              <w:rPr>
                <w:rFonts w:cs="Arial"/>
              </w:rPr>
            </w:pPr>
            <w:r w:rsidRPr="005E3A96">
              <w:rPr>
                <w:rFonts w:cs="Arial"/>
              </w:rPr>
              <w:lastRenderedPageBreak/>
              <w:t>Jennifer Mullin</w:t>
            </w:r>
          </w:p>
        </w:tc>
        <w:tc>
          <w:tcPr>
            <w:tcW w:w="1559" w:type="dxa"/>
            <w:shd w:val="clear" w:color="auto" w:fill="auto"/>
          </w:tcPr>
          <w:p w:rsidR="0037228A" w:rsidRPr="0031059E" w:rsidRDefault="0095096C" w:rsidP="0031059E">
            <w:pPr>
              <w:rPr>
                <w:rFonts w:cs="Arial"/>
              </w:rPr>
            </w:pPr>
            <w:r>
              <w:rPr>
                <w:rFonts w:cs="Arial"/>
              </w:rPr>
              <w:t>01772 625329</w:t>
            </w:r>
          </w:p>
        </w:tc>
        <w:tc>
          <w:tcPr>
            <w:tcW w:w="2380" w:type="dxa"/>
            <w:shd w:val="clear" w:color="auto" w:fill="auto"/>
          </w:tcPr>
          <w:p w:rsidR="0037228A" w:rsidRPr="0031059E" w:rsidRDefault="005E3A96" w:rsidP="0031059E">
            <w:pPr>
              <w:rPr>
                <w:rFonts w:cs="Arial"/>
              </w:rPr>
            </w:pPr>
            <w:r>
              <w:rPr>
                <w:rFonts w:cs="Arial"/>
              </w:rPr>
              <w:t>3</w:t>
            </w:r>
            <w:r w:rsidRPr="005E3A96">
              <w:rPr>
                <w:rFonts w:cs="Arial"/>
                <w:vertAlign w:val="superscript"/>
              </w:rPr>
              <w:t>rd</w:t>
            </w:r>
            <w:r>
              <w:rPr>
                <w:rFonts w:cs="Arial"/>
              </w:rPr>
              <w:t xml:space="preserve"> June 2019</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5E" w:rsidRDefault="0029095E">
      <w:r>
        <w:separator/>
      </w:r>
    </w:p>
  </w:endnote>
  <w:endnote w:type="continuationSeparator" w:id="0">
    <w:p w:rsidR="0029095E" w:rsidRDefault="0029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5E" w:rsidRDefault="0029095E">
      <w:r>
        <w:separator/>
      </w:r>
    </w:p>
  </w:footnote>
  <w:footnote w:type="continuationSeparator" w:id="0">
    <w:p w:rsidR="0029095E" w:rsidRDefault="00290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0A1A0012"/>
    <w:lvl w:ilvl="0">
      <w:start w:val="1"/>
      <w:numFmt w:val="decimal"/>
      <w:lvlText w:val="%1."/>
      <w:lvlJc w:val="left"/>
      <w:pPr>
        <w:ind w:left="1080" w:hanging="360"/>
      </w:pPr>
      <w:rPr>
        <w:rFonts w:ascii="Arial" w:hAnsi="Arial" w:cs="Arial"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365C6"/>
    <w:multiLevelType w:val="multilevel"/>
    <w:tmpl w:val="0A1A0012"/>
    <w:lvl w:ilvl="0">
      <w:start w:val="1"/>
      <w:numFmt w:val="decimal"/>
      <w:lvlText w:val="%1."/>
      <w:lvlJc w:val="left"/>
      <w:pPr>
        <w:ind w:left="1080" w:hanging="360"/>
      </w:pPr>
      <w:rPr>
        <w:rFonts w:ascii="Arial" w:hAnsi="Arial" w:cs="Arial"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BA725D9"/>
    <w:multiLevelType w:val="hybridMultilevel"/>
    <w:tmpl w:val="07103E40"/>
    <w:lvl w:ilvl="0" w:tplc="2FDC9B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944E8"/>
    <w:multiLevelType w:val="hybridMultilevel"/>
    <w:tmpl w:val="9202DB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0B0023"/>
    <w:multiLevelType w:val="hybridMultilevel"/>
    <w:tmpl w:val="D6FAD27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2"/>
  </w:num>
  <w:num w:numId="3">
    <w:abstractNumId w:val="13"/>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11"/>
  </w:num>
  <w:num w:numId="13">
    <w:abstractNumId w:val="15"/>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10FE"/>
    <w:rsid w:val="000E5A3B"/>
    <w:rsid w:val="000F2C8A"/>
    <w:rsid w:val="0010115F"/>
    <w:rsid w:val="00116662"/>
    <w:rsid w:val="001544DD"/>
    <w:rsid w:val="00167AEF"/>
    <w:rsid w:val="00176159"/>
    <w:rsid w:val="00184E1D"/>
    <w:rsid w:val="0019545D"/>
    <w:rsid w:val="001A24F9"/>
    <w:rsid w:val="00207251"/>
    <w:rsid w:val="0021725E"/>
    <w:rsid w:val="002221BD"/>
    <w:rsid w:val="00237720"/>
    <w:rsid w:val="0025591B"/>
    <w:rsid w:val="002820A5"/>
    <w:rsid w:val="0029095E"/>
    <w:rsid w:val="00294520"/>
    <w:rsid w:val="002C71DE"/>
    <w:rsid w:val="002D4745"/>
    <w:rsid w:val="002E4FF4"/>
    <w:rsid w:val="002F5C5E"/>
    <w:rsid w:val="0031059E"/>
    <w:rsid w:val="00331D5F"/>
    <w:rsid w:val="00345C71"/>
    <w:rsid w:val="00357F6B"/>
    <w:rsid w:val="0037228A"/>
    <w:rsid w:val="00386AAD"/>
    <w:rsid w:val="003A1B3F"/>
    <w:rsid w:val="003A23D3"/>
    <w:rsid w:val="003A2919"/>
    <w:rsid w:val="003B1E6D"/>
    <w:rsid w:val="003C36EB"/>
    <w:rsid w:val="003D3DEB"/>
    <w:rsid w:val="003D4BEF"/>
    <w:rsid w:val="003E33E6"/>
    <w:rsid w:val="003F5603"/>
    <w:rsid w:val="00405D4A"/>
    <w:rsid w:val="00407A09"/>
    <w:rsid w:val="004155DC"/>
    <w:rsid w:val="004218EA"/>
    <w:rsid w:val="00442C46"/>
    <w:rsid w:val="0045553F"/>
    <w:rsid w:val="00467204"/>
    <w:rsid w:val="00474DA8"/>
    <w:rsid w:val="00491976"/>
    <w:rsid w:val="004A45D4"/>
    <w:rsid w:val="004C2F94"/>
    <w:rsid w:val="004D7260"/>
    <w:rsid w:val="004F167C"/>
    <w:rsid w:val="004F23B3"/>
    <w:rsid w:val="0050340F"/>
    <w:rsid w:val="005041BB"/>
    <w:rsid w:val="00517D50"/>
    <w:rsid w:val="00533525"/>
    <w:rsid w:val="00537F51"/>
    <w:rsid w:val="00547120"/>
    <w:rsid w:val="00547481"/>
    <w:rsid w:val="00552DBD"/>
    <w:rsid w:val="00576A82"/>
    <w:rsid w:val="00594D09"/>
    <w:rsid w:val="005A26AD"/>
    <w:rsid w:val="005B0C36"/>
    <w:rsid w:val="005D4F59"/>
    <w:rsid w:val="005E3A96"/>
    <w:rsid w:val="0060374B"/>
    <w:rsid w:val="00621D7D"/>
    <w:rsid w:val="00630F86"/>
    <w:rsid w:val="00633396"/>
    <w:rsid w:val="00645A0B"/>
    <w:rsid w:val="0065176C"/>
    <w:rsid w:val="00651946"/>
    <w:rsid w:val="006555E6"/>
    <w:rsid w:val="006879CA"/>
    <w:rsid w:val="00693EE6"/>
    <w:rsid w:val="006B645E"/>
    <w:rsid w:val="006B66A7"/>
    <w:rsid w:val="006B7116"/>
    <w:rsid w:val="006C04C1"/>
    <w:rsid w:val="006C209A"/>
    <w:rsid w:val="006E09FB"/>
    <w:rsid w:val="006E0ECA"/>
    <w:rsid w:val="006F3CA7"/>
    <w:rsid w:val="006F48FD"/>
    <w:rsid w:val="00703DE3"/>
    <w:rsid w:val="00707E99"/>
    <w:rsid w:val="00712E3F"/>
    <w:rsid w:val="007363FF"/>
    <w:rsid w:val="007A0801"/>
    <w:rsid w:val="007D2754"/>
    <w:rsid w:val="00814F6D"/>
    <w:rsid w:val="00822215"/>
    <w:rsid w:val="00857921"/>
    <w:rsid w:val="008770BE"/>
    <w:rsid w:val="00893AD2"/>
    <w:rsid w:val="008A2F6B"/>
    <w:rsid w:val="008A42E3"/>
    <w:rsid w:val="008A77AB"/>
    <w:rsid w:val="008B41C5"/>
    <w:rsid w:val="008C04DA"/>
    <w:rsid w:val="008C1DBF"/>
    <w:rsid w:val="008C3B1A"/>
    <w:rsid w:val="008D623F"/>
    <w:rsid w:val="008D6F43"/>
    <w:rsid w:val="008F4B91"/>
    <w:rsid w:val="0090542C"/>
    <w:rsid w:val="009063C4"/>
    <w:rsid w:val="00911FD5"/>
    <w:rsid w:val="009350CB"/>
    <w:rsid w:val="0095096C"/>
    <w:rsid w:val="009538AE"/>
    <w:rsid w:val="00970C70"/>
    <w:rsid w:val="00980267"/>
    <w:rsid w:val="0098066A"/>
    <w:rsid w:val="00980C5C"/>
    <w:rsid w:val="00983CD5"/>
    <w:rsid w:val="009846F1"/>
    <w:rsid w:val="00992E79"/>
    <w:rsid w:val="0099709C"/>
    <w:rsid w:val="009A714A"/>
    <w:rsid w:val="009B0FC6"/>
    <w:rsid w:val="009C1143"/>
    <w:rsid w:val="009E233A"/>
    <w:rsid w:val="009E48E0"/>
    <w:rsid w:val="009F2F28"/>
    <w:rsid w:val="009F4D20"/>
    <w:rsid w:val="00A01AC1"/>
    <w:rsid w:val="00A1406A"/>
    <w:rsid w:val="00A15749"/>
    <w:rsid w:val="00A162DE"/>
    <w:rsid w:val="00A2078A"/>
    <w:rsid w:val="00A20888"/>
    <w:rsid w:val="00A22D02"/>
    <w:rsid w:val="00A30426"/>
    <w:rsid w:val="00A3361B"/>
    <w:rsid w:val="00A445C9"/>
    <w:rsid w:val="00A4702E"/>
    <w:rsid w:val="00A501A1"/>
    <w:rsid w:val="00A50754"/>
    <w:rsid w:val="00A62C20"/>
    <w:rsid w:val="00A67215"/>
    <w:rsid w:val="00A7541A"/>
    <w:rsid w:val="00A76482"/>
    <w:rsid w:val="00A96443"/>
    <w:rsid w:val="00A975A7"/>
    <w:rsid w:val="00AB12A0"/>
    <w:rsid w:val="00AB3D95"/>
    <w:rsid w:val="00AC4A99"/>
    <w:rsid w:val="00AE5E50"/>
    <w:rsid w:val="00AF0A33"/>
    <w:rsid w:val="00B05FE8"/>
    <w:rsid w:val="00B1788B"/>
    <w:rsid w:val="00B443DD"/>
    <w:rsid w:val="00B51DB8"/>
    <w:rsid w:val="00B62D79"/>
    <w:rsid w:val="00B67225"/>
    <w:rsid w:val="00B70B91"/>
    <w:rsid w:val="00B716F5"/>
    <w:rsid w:val="00B72A06"/>
    <w:rsid w:val="00B766C4"/>
    <w:rsid w:val="00BA2606"/>
    <w:rsid w:val="00BC6635"/>
    <w:rsid w:val="00BD2AFE"/>
    <w:rsid w:val="00BE0127"/>
    <w:rsid w:val="00C022F9"/>
    <w:rsid w:val="00C209E3"/>
    <w:rsid w:val="00C24E98"/>
    <w:rsid w:val="00C30128"/>
    <w:rsid w:val="00C52450"/>
    <w:rsid w:val="00C64ED1"/>
    <w:rsid w:val="00C65FF9"/>
    <w:rsid w:val="00C66BAA"/>
    <w:rsid w:val="00C80A48"/>
    <w:rsid w:val="00CB32DF"/>
    <w:rsid w:val="00CC3246"/>
    <w:rsid w:val="00CC4337"/>
    <w:rsid w:val="00CC43EA"/>
    <w:rsid w:val="00CC70BC"/>
    <w:rsid w:val="00CE3DA1"/>
    <w:rsid w:val="00CE4482"/>
    <w:rsid w:val="00CF6B60"/>
    <w:rsid w:val="00D36638"/>
    <w:rsid w:val="00D37745"/>
    <w:rsid w:val="00D37BAE"/>
    <w:rsid w:val="00D45AF6"/>
    <w:rsid w:val="00D468F3"/>
    <w:rsid w:val="00D772AB"/>
    <w:rsid w:val="00D90A00"/>
    <w:rsid w:val="00D91845"/>
    <w:rsid w:val="00D92DC7"/>
    <w:rsid w:val="00D9371C"/>
    <w:rsid w:val="00DA589A"/>
    <w:rsid w:val="00DB3FD0"/>
    <w:rsid w:val="00DB4EB8"/>
    <w:rsid w:val="00DB6F5A"/>
    <w:rsid w:val="00DE4752"/>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175E"/>
    <w:rsid w:val="00EF3B6C"/>
    <w:rsid w:val="00F3057A"/>
    <w:rsid w:val="00F30E9C"/>
    <w:rsid w:val="00F46B79"/>
    <w:rsid w:val="00F47895"/>
    <w:rsid w:val="00F55E4D"/>
    <w:rsid w:val="00F61752"/>
    <w:rsid w:val="00F7313B"/>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F47895"/>
    <w:rPr>
      <w:sz w:val="16"/>
      <w:szCs w:val="16"/>
    </w:rPr>
  </w:style>
  <w:style w:type="paragraph" w:styleId="CommentText">
    <w:name w:val="annotation text"/>
    <w:basedOn w:val="Normal"/>
    <w:link w:val="CommentTextChar"/>
    <w:uiPriority w:val="99"/>
    <w:semiHidden/>
    <w:unhideWhenUsed/>
    <w:rsid w:val="00F47895"/>
    <w:rPr>
      <w:sz w:val="20"/>
    </w:rPr>
  </w:style>
  <w:style w:type="character" w:customStyle="1" w:styleId="CommentTextChar">
    <w:name w:val="Comment Text Char"/>
    <w:basedOn w:val="DefaultParagraphFont"/>
    <w:link w:val="CommentText"/>
    <w:uiPriority w:val="99"/>
    <w:semiHidden/>
    <w:rsid w:val="00F47895"/>
    <w:rPr>
      <w:rFonts w:ascii="Arial" w:hAnsi="Arial"/>
    </w:rPr>
  </w:style>
  <w:style w:type="paragraph" w:styleId="CommentSubject">
    <w:name w:val="annotation subject"/>
    <w:basedOn w:val="CommentText"/>
    <w:next w:val="CommentText"/>
    <w:link w:val="CommentSubjectChar"/>
    <w:uiPriority w:val="99"/>
    <w:semiHidden/>
    <w:unhideWhenUsed/>
    <w:rsid w:val="00F47895"/>
    <w:rPr>
      <w:b/>
      <w:bCs/>
    </w:rPr>
  </w:style>
  <w:style w:type="character" w:customStyle="1" w:styleId="CommentSubjectChar">
    <w:name w:val="Comment Subject Char"/>
    <w:basedOn w:val="CommentTextChar"/>
    <w:link w:val="CommentSubject"/>
    <w:uiPriority w:val="99"/>
    <w:semiHidden/>
    <w:rsid w:val="00F47895"/>
    <w:rPr>
      <w:rFonts w:ascii="Arial" w:hAnsi="Arial"/>
      <w:b/>
      <w:bCs/>
    </w:rPr>
  </w:style>
  <w:style w:type="paragraph" w:customStyle="1" w:styleId="Default">
    <w:name w:val="Default"/>
    <w:rsid w:val="00D92D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8371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5</Pages>
  <Words>1843</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2019-06-10T10:36:00Z</dcterms:created>
  <dcterms:modified xsi:type="dcterms:W3CDTF">2019-06-10T10:36:00Z</dcterms:modified>
</cp:coreProperties>
</file>